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4"/>
        </w:rPr>
      </w:pPr>
    </w:p>
    <w:p>
      <w:pPr>
        <w:jc w:val="center"/>
        <w:rPr>
          <w:sz w:val="44"/>
        </w:rPr>
      </w:pPr>
    </w:p>
    <w:p>
      <w:pPr>
        <w:jc w:val="center"/>
        <w:rPr>
          <w:sz w:val="44"/>
        </w:rPr>
      </w:pPr>
    </w:p>
    <w:p>
      <w:pPr>
        <w:jc w:val="center"/>
        <w:rPr>
          <w:sz w:val="44"/>
        </w:rPr>
      </w:pPr>
    </w:p>
    <w:p>
      <w:pPr>
        <w:pStyle w:val="2"/>
        <w:jc w:val="center"/>
      </w:pPr>
      <w:bookmarkStart w:id="0" w:name="_Toc25875"/>
      <w:bookmarkStart w:id="1" w:name="_Toc9938"/>
      <w:r>
        <w:t>危废鉴别平台用户使用手册</w:t>
      </w:r>
      <w:bookmarkEnd w:id="0"/>
      <w:bookmarkEnd w:id="1"/>
    </w:p>
    <w:p>
      <w:pPr>
        <w:jc w:val="center"/>
        <w:rPr>
          <w:b/>
          <w:sz w:val="40"/>
        </w:rPr>
      </w:pPr>
      <w:r>
        <w:rPr>
          <w:rFonts w:hint="eastAsia"/>
          <w:b/>
          <w:sz w:val="40"/>
        </w:rPr>
        <w:t>V</w:t>
      </w:r>
      <w:r>
        <w:rPr>
          <w:b/>
          <w:sz w:val="40"/>
        </w:rPr>
        <w:t>1.0版</w:t>
      </w:r>
    </w:p>
    <w:p>
      <w:pPr>
        <w:jc w:val="center"/>
        <w:rPr>
          <w:sz w:val="44"/>
        </w:rPr>
      </w:pPr>
    </w:p>
    <w:p>
      <w:pPr>
        <w:jc w:val="center"/>
        <w:rPr>
          <w:sz w:val="44"/>
        </w:rPr>
      </w:pPr>
    </w:p>
    <w:p>
      <w:pPr>
        <w:jc w:val="center"/>
        <w:rPr>
          <w:sz w:val="44"/>
        </w:rPr>
      </w:pPr>
    </w:p>
    <w:p>
      <w:pPr>
        <w:jc w:val="center"/>
        <w:rPr>
          <w:sz w:val="44"/>
        </w:rPr>
      </w:pPr>
    </w:p>
    <w:p>
      <w:pPr>
        <w:jc w:val="center"/>
        <w:rPr>
          <w:sz w:val="44"/>
        </w:rPr>
      </w:pPr>
    </w:p>
    <w:p>
      <w:pPr>
        <w:jc w:val="center"/>
        <w:rPr>
          <w:sz w:val="44"/>
        </w:rPr>
      </w:pPr>
    </w:p>
    <w:p>
      <w:pPr>
        <w:jc w:val="center"/>
        <w:rPr>
          <w:sz w:val="44"/>
        </w:rPr>
      </w:pPr>
    </w:p>
    <w:p>
      <w:pPr>
        <w:jc w:val="center"/>
        <w:rPr>
          <w:sz w:val="44"/>
        </w:rPr>
      </w:pPr>
    </w:p>
    <w:p>
      <w:pPr>
        <w:jc w:val="center"/>
        <w:rPr>
          <w:sz w:val="44"/>
        </w:rPr>
      </w:pPr>
    </w:p>
    <w:p>
      <w:pPr>
        <w:jc w:val="center"/>
        <w:rPr>
          <w:sz w:val="44"/>
        </w:rPr>
      </w:pPr>
    </w:p>
    <w:p>
      <w:pPr>
        <w:jc w:val="center"/>
        <w:rPr>
          <w:sz w:val="32"/>
        </w:rPr>
      </w:pPr>
      <w:r>
        <w:rPr>
          <w:sz w:val="32"/>
        </w:rPr>
        <w:t>东软集团股份有限公司</w:t>
      </w:r>
    </w:p>
    <w:p>
      <w:pPr>
        <w:jc w:val="center"/>
        <w:rPr>
          <w:sz w:val="32"/>
        </w:rPr>
      </w:pPr>
      <w:r>
        <w:rPr>
          <w:rFonts w:hint="eastAsia"/>
          <w:sz w:val="32"/>
        </w:rPr>
        <w:t>2</w:t>
      </w:r>
      <w:r>
        <w:rPr>
          <w:sz w:val="32"/>
        </w:rPr>
        <w:t>021年</w:t>
      </w:r>
      <w:r>
        <w:rPr>
          <w:rFonts w:hint="eastAsia"/>
          <w:sz w:val="32"/>
        </w:rPr>
        <w:t>6月</w:t>
      </w:r>
    </w:p>
    <w:p>
      <w:pPr>
        <w:jc w:val="center"/>
        <w:rPr>
          <w:sz w:val="44"/>
        </w:rPr>
      </w:pPr>
    </w:p>
    <w:p>
      <w:pPr>
        <w:jc w:val="center"/>
        <w:rPr>
          <w:sz w:val="44"/>
        </w:rPr>
      </w:pPr>
    </w:p>
    <w:p>
      <w:pPr>
        <w:jc w:val="center"/>
        <w:rPr>
          <w:sz w:val="44"/>
        </w:rPr>
      </w:pPr>
    </w:p>
    <w:p>
      <w:pPr>
        <w:jc w:val="center"/>
        <w:rPr>
          <w:sz w:val="44"/>
        </w:rPr>
        <w:sectPr>
          <w:headerReference r:id="rId3" w:type="default"/>
          <w:footerReference r:id="rId4" w:type="default"/>
          <w:pgSz w:w="11906" w:h="16838"/>
          <w:pgMar w:top="1440" w:right="1800" w:bottom="1440" w:left="1800" w:header="1134" w:footer="1191" w:gutter="0"/>
          <w:cols w:space="425" w:num="1"/>
          <w:docGrid w:type="lines" w:linePitch="312" w:charSpace="0"/>
        </w:sectPr>
      </w:pPr>
    </w:p>
    <w:p>
      <w:pPr>
        <w:jc w:val="center"/>
        <w:rPr>
          <w:sz w:val="44"/>
        </w:rPr>
      </w:pPr>
    </w:p>
    <w:p>
      <w:pPr>
        <w:jc w:val="center"/>
        <w:rPr>
          <w:sz w:val="44"/>
        </w:rPr>
      </w:pPr>
    </w:p>
    <w:p>
      <w:pPr>
        <w:jc w:val="center"/>
        <w:rPr>
          <w:sz w:val="44"/>
        </w:rPr>
      </w:pPr>
    </w:p>
    <w:p>
      <w:pPr>
        <w:jc w:val="center"/>
        <w:rPr>
          <w:sz w:val="44"/>
        </w:rPr>
      </w:pPr>
    </w:p>
    <w:sdt>
      <w:sdtPr>
        <w:rPr>
          <w:rFonts w:ascii="宋体" w:hAnsi="宋体" w:eastAsia="宋体"/>
        </w:rPr>
        <w:id w:val="147480807"/>
        <w15:color w:val="DBDBDB"/>
        <w:docPartObj>
          <w:docPartGallery w:val="Table of Contents"/>
          <w:docPartUnique/>
        </w:docPartObj>
      </w:sdtPr>
      <w:sdtEndPr>
        <w:rPr>
          <w:rFonts w:hint="eastAsia" w:ascii="黑体" w:hAnsi="黑体" w:eastAsia="黑体" w:cs="黑体"/>
          <w:b/>
          <w:bCs/>
          <w:kern w:val="44"/>
          <w:sz w:val="44"/>
        </w:rPr>
      </w:sdtEndPr>
      <w:sdtContent>
        <w:p>
          <w:pPr>
            <w:spacing w:line="360" w:lineRule="auto"/>
            <w:jc w:val="center"/>
            <w:rPr>
              <w:rFonts w:ascii="黑体" w:hAnsi="黑体" w:eastAsia="黑体" w:cs="黑体"/>
              <w:bCs/>
              <w:kern w:val="44"/>
              <w:sz w:val="28"/>
              <w:szCs w:val="28"/>
            </w:rPr>
          </w:pPr>
          <w:r>
            <w:rPr>
              <w:rFonts w:hint="eastAsia" w:ascii="宋体" w:hAnsi="宋体" w:eastAsia="宋体" w:cs="Times New Roman"/>
              <w:kern w:val="0"/>
              <w:sz w:val="36"/>
              <w:szCs w:val="32"/>
            </w:rPr>
            <w:t>目录</w:t>
          </w:r>
        </w:p>
        <w:p>
          <w:pPr>
            <w:pStyle w:val="7"/>
            <w:tabs>
              <w:tab w:val="right" w:leader="dot" w:pos="8306"/>
            </w:tabs>
          </w:pPr>
          <w:r>
            <w:rPr>
              <w:rFonts w:hint="eastAsia" w:ascii="黑体" w:hAnsi="黑体" w:eastAsia="黑体" w:cs="黑体"/>
              <w:bCs/>
              <w:kern w:val="44"/>
              <w:sz w:val="28"/>
              <w:szCs w:val="28"/>
            </w:rPr>
            <w:fldChar w:fldCharType="begin"/>
          </w:r>
          <w:r>
            <w:rPr>
              <w:rFonts w:hint="eastAsia" w:ascii="黑体" w:hAnsi="黑体" w:eastAsia="黑体" w:cs="黑体"/>
              <w:bCs/>
              <w:kern w:val="44"/>
              <w:sz w:val="28"/>
              <w:szCs w:val="28"/>
            </w:rPr>
            <w:instrText xml:space="preserve">TOC \o "1-3" \h \u </w:instrText>
          </w:r>
          <w:r>
            <w:rPr>
              <w:rFonts w:hint="eastAsia" w:ascii="黑体" w:hAnsi="黑体" w:eastAsia="黑体" w:cs="黑体"/>
              <w:bCs/>
              <w:kern w:val="44"/>
              <w:sz w:val="28"/>
              <w:szCs w:val="28"/>
            </w:rPr>
            <w:fldChar w:fldCharType="separate"/>
          </w:r>
        </w:p>
        <w:p>
          <w:pPr>
            <w:pStyle w:val="7"/>
            <w:tabs>
              <w:tab w:val="right" w:leader="dot" w:pos="8306"/>
            </w:tabs>
            <w:rPr>
              <w:rFonts w:hint="eastAsia" w:ascii="宋体" w:hAnsi="宋体" w:eastAsia="宋体" w:cs="宋体"/>
              <w:sz w:val="28"/>
              <w:szCs w:val="36"/>
            </w:rPr>
          </w:pPr>
          <w:r>
            <w:rPr>
              <w:rFonts w:hint="eastAsia" w:ascii="宋体" w:hAnsi="宋体" w:eastAsia="宋体" w:cs="宋体"/>
              <w:bCs/>
              <w:kern w:val="44"/>
              <w:sz w:val="28"/>
              <w:szCs w:val="40"/>
            </w:rPr>
            <w:fldChar w:fldCharType="begin"/>
          </w:r>
          <w:r>
            <w:rPr>
              <w:rFonts w:hint="eastAsia" w:ascii="宋体" w:hAnsi="宋体" w:eastAsia="宋体" w:cs="宋体"/>
              <w:bCs/>
              <w:kern w:val="44"/>
              <w:sz w:val="28"/>
              <w:szCs w:val="40"/>
            </w:rPr>
            <w:instrText xml:space="preserve"> HYPERLINK \l _Toc12838 </w:instrText>
          </w:r>
          <w:r>
            <w:rPr>
              <w:rFonts w:hint="eastAsia" w:ascii="宋体" w:hAnsi="宋体" w:eastAsia="宋体" w:cs="宋体"/>
              <w:bCs/>
              <w:kern w:val="44"/>
              <w:sz w:val="28"/>
              <w:szCs w:val="40"/>
            </w:rPr>
            <w:fldChar w:fldCharType="separate"/>
          </w:r>
          <w:r>
            <w:rPr>
              <w:rFonts w:hint="eastAsia" w:ascii="宋体" w:hAnsi="宋体" w:eastAsia="宋体" w:cs="宋体"/>
              <w:bCs/>
              <w:sz w:val="28"/>
              <w:szCs w:val="48"/>
            </w:rPr>
            <w:t>1. 业务流程图</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_Toc12838 </w:instrText>
          </w:r>
          <w:r>
            <w:rPr>
              <w:rFonts w:hint="eastAsia" w:ascii="宋体" w:hAnsi="宋体" w:eastAsia="宋体" w:cs="宋体"/>
              <w:sz w:val="28"/>
              <w:szCs w:val="36"/>
            </w:rPr>
            <w:fldChar w:fldCharType="separate"/>
          </w:r>
          <w:r>
            <w:rPr>
              <w:rFonts w:hint="eastAsia" w:ascii="宋体" w:hAnsi="宋体" w:eastAsia="宋体" w:cs="宋体"/>
              <w:sz w:val="28"/>
              <w:szCs w:val="36"/>
            </w:rPr>
            <w:t>1</w:t>
          </w:r>
          <w:r>
            <w:rPr>
              <w:rFonts w:hint="eastAsia" w:ascii="宋体" w:hAnsi="宋体" w:eastAsia="宋体" w:cs="宋体"/>
              <w:sz w:val="28"/>
              <w:szCs w:val="36"/>
            </w:rPr>
            <w:fldChar w:fldCharType="end"/>
          </w:r>
          <w:r>
            <w:rPr>
              <w:rFonts w:hint="eastAsia" w:ascii="宋体" w:hAnsi="宋体" w:eastAsia="宋体" w:cs="宋体"/>
              <w:bCs/>
              <w:kern w:val="44"/>
              <w:sz w:val="28"/>
              <w:szCs w:val="40"/>
            </w:rPr>
            <w:fldChar w:fldCharType="end"/>
          </w:r>
        </w:p>
        <w:p>
          <w:pPr>
            <w:pStyle w:val="7"/>
            <w:tabs>
              <w:tab w:val="right" w:leader="dot" w:pos="8306"/>
            </w:tabs>
            <w:rPr>
              <w:rFonts w:hint="eastAsia" w:ascii="宋体" w:hAnsi="宋体" w:eastAsia="宋体" w:cs="宋体"/>
              <w:sz w:val="28"/>
              <w:szCs w:val="36"/>
            </w:rPr>
          </w:pPr>
          <w:r>
            <w:rPr>
              <w:rFonts w:hint="eastAsia" w:ascii="宋体" w:hAnsi="宋体" w:eastAsia="宋体" w:cs="宋体"/>
              <w:bCs/>
              <w:kern w:val="44"/>
              <w:sz w:val="28"/>
              <w:szCs w:val="40"/>
            </w:rPr>
            <w:fldChar w:fldCharType="begin"/>
          </w:r>
          <w:r>
            <w:rPr>
              <w:rFonts w:hint="eastAsia" w:ascii="宋体" w:hAnsi="宋体" w:eastAsia="宋体" w:cs="宋体"/>
              <w:bCs/>
              <w:kern w:val="44"/>
              <w:sz w:val="28"/>
              <w:szCs w:val="40"/>
            </w:rPr>
            <w:instrText xml:space="preserve"> HYPERLINK \l _Toc17814 </w:instrText>
          </w:r>
          <w:r>
            <w:rPr>
              <w:rFonts w:hint="eastAsia" w:ascii="宋体" w:hAnsi="宋体" w:eastAsia="宋体" w:cs="宋体"/>
              <w:bCs/>
              <w:kern w:val="44"/>
              <w:sz w:val="28"/>
              <w:szCs w:val="40"/>
            </w:rPr>
            <w:fldChar w:fldCharType="separate"/>
          </w:r>
          <w:r>
            <w:rPr>
              <w:rFonts w:hint="eastAsia" w:ascii="宋体" w:hAnsi="宋体" w:eastAsia="宋体" w:cs="宋体"/>
              <w:bCs/>
              <w:sz w:val="28"/>
              <w:szCs w:val="48"/>
            </w:rPr>
            <w:t>2. 注册</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_Toc17814 </w:instrText>
          </w:r>
          <w:r>
            <w:rPr>
              <w:rFonts w:hint="eastAsia" w:ascii="宋体" w:hAnsi="宋体" w:eastAsia="宋体" w:cs="宋体"/>
              <w:sz w:val="28"/>
              <w:szCs w:val="36"/>
            </w:rPr>
            <w:fldChar w:fldCharType="separate"/>
          </w:r>
          <w:r>
            <w:rPr>
              <w:rFonts w:hint="eastAsia" w:ascii="宋体" w:hAnsi="宋体" w:eastAsia="宋体" w:cs="宋体"/>
              <w:sz w:val="28"/>
              <w:szCs w:val="36"/>
            </w:rPr>
            <w:t>1</w:t>
          </w:r>
          <w:r>
            <w:rPr>
              <w:rFonts w:hint="eastAsia" w:ascii="宋体" w:hAnsi="宋体" w:eastAsia="宋体" w:cs="宋体"/>
              <w:sz w:val="28"/>
              <w:szCs w:val="36"/>
            </w:rPr>
            <w:fldChar w:fldCharType="end"/>
          </w:r>
          <w:r>
            <w:rPr>
              <w:rFonts w:hint="eastAsia" w:ascii="宋体" w:hAnsi="宋体" w:eastAsia="宋体" w:cs="宋体"/>
              <w:bCs/>
              <w:kern w:val="44"/>
              <w:sz w:val="28"/>
              <w:szCs w:val="40"/>
            </w:rPr>
            <w:fldChar w:fldCharType="end"/>
          </w:r>
        </w:p>
        <w:p>
          <w:pPr>
            <w:pStyle w:val="7"/>
            <w:tabs>
              <w:tab w:val="right" w:leader="dot" w:pos="8306"/>
            </w:tabs>
            <w:rPr>
              <w:rFonts w:hint="eastAsia" w:ascii="宋体" w:hAnsi="宋体" w:eastAsia="宋体" w:cs="宋体"/>
              <w:sz w:val="28"/>
              <w:szCs w:val="36"/>
            </w:rPr>
          </w:pPr>
          <w:r>
            <w:rPr>
              <w:rFonts w:hint="eastAsia" w:ascii="宋体" w:hAnsi="宋体" w:eastAsia="宋体" w:cs="宋体"/>
              <w:bCs/>
              <w:kern w:val="44"/>
              <w:sz w:val="28"/>
              <w:szCs w:val="40"/>
            </w:rPr>
            <w:fldChar w:fldCharType="begin"/>
          </w:r>
          <w:r>
            <w:rPr>
              <w:rFonts w:hint="eastAsia" w:ascii="宋体" w:hAnsi="宋体" w:eastAsia="宋体" w:cs="宋体"/>
              <w:bCs/>
              <w:kern w:val="44"/>
              <w:sz w:val="28"/>
              <w:szCs w:val="40"/>
            </w:rPr>
            <w:instrText xml:space="preserve"> HYPERLINK \l _Toc20974 </w:instrText>
          </w:r>
          <w:r>
            <w:rPr>
              <w:rFonts w:hint="eastAsia" w:ascii="宋体" w:hAnsi="宋体" w:eastAsia="宋体" w:cs="宋体"/>
              <w:bCs/>
              <w:kern w:val="44"/>
              <w:sz w:val="28"/>
              <w:szCs w:val="40"/>
            </w:rPr>
            <w:fldChar w:fldCharType="separate"/>
          </w:r>
          <w:r>
            <w:rPr>
              <w:rFonts w:hint="eastAsia" w:ascii="宋体" w:hAnsi="宋体" w:eastAsia="宋体" w:cs="宋体"/>
              <w:bCs/>
              <w:sz w:val="28"/>
              <w:szCs w:val="48"/>
            </w:rPr>
            <w:t>3.委托鉴别单位</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_Toc20974 </w:instrText>
          </w:r>
          <w:r>
            <w:rPr>
              <w:rFonts w:hint="eastAsia" w:ascii="宋体" w:hAnsi="宋体" w:eastAsia="宋体" w:cs="宋体"/>
              <w:sz w:val="28"/>
              <w:szCs w:val="36"/>
            </w:rPr>
            <w:fldChar w:fldCharType="separate"/>
          </w:r>
          <w:r>
            <w:rPr>
              <w:rFonts w:hint="eastAsia" w:ascii="宋体" w:hAnsi="宋体" w:eastAsia="宋体" w:cs="宋体"/>
              <w:sz w:val="28"/>
              <w:szCs w:val="36"/>
            </w:rPr>
            <w:t>7</w:t>
          </w:r>
          <w:r>
            <w:rPr>
              <w:rFonts w:hint="eastAsia" w:ascii="宋体" w:hAnsi="宋体" w:eastAsia="宋体" w:cs="宋体"/>
              <w:sz w:val="28"/>
              <w:szCs w:val="36"/>
            </w:rPr>
            <w:fldChar w:fldCharType="end"/>
          </w:r>
          <w:r>
            <w:rPr>
              <w:rFonts w:hint="eastAsia" w:ascii="宋体" w:hAnsi="宋体" w:eastAsia="宋体" w:cs="宋体"/>
              <w:bCs/>
              <w:kern w:val="44"/>
              <w:sz w:val="28"/>
              <w:szCs w:val="40"/>
            </w:rPr>
            <w:fldChar w:fldCharType="end"/>
          </w:r>
        </w:p>
        <w:p>
          <w:pPr>
            <w:pStyle w:val="8"/>
            <w:tabs>
              <w:tab w:val="right" w:leader="dot" w:pos="8306"/>
            </w:tabs>
            <w:rPr>
              <w:rFonts w:hint="eastAsia" w:ascii="宋体" w:hAnsi="宋体" w:eastAsia="宋体" w:cs="宋体"/>
              <w:sz w:val="28"/>
              <w:szCs w:val="36"/>
            </w:rPr>
          </w:pPr>
          <w:r>
            <w:rPr>
              <w:rFonts w:hint="eastAsia" w:ascii="宋体" w:hAnsi="宋体" w:eastAsia="宋体" w:cs="宋体"/>
              <w:bCs/>
              <w:kern w:val="44"/>
              <w:sz w:val="28"/>
              <w:szCs w:val="40"/>
            </w:rPr>
            <w:fldChar w:fldCharType="begin"/>
          </w:r>
          <w:r>
            <w:rPr>
              <w:rFonts w:hint="eastAsia" w:ascii="宋体" w:hAnsi="宋体" w:eastAsia="宋体" w:cs="宋体"/>
              <w:bCs/>
              <w:kern w:val="44"/>
              <w:sz w:val="28"/>
              <w:szCs w:val="40"/>
            </w:rPr>
            <w:instrText xml:space="preserve"> HYPERLINK \l _Toc25629 </w:instrText>
          </w:r>
          <w:r>
            <w:rPr>
              <w:rFonts w:hint="eastAsia" w:ascii="宋体" w:hAnsi="宋体" w:eastAsia="宋体" w:cs="宋体"/>
              <w:bCs/>
              <w:kern w:val="44"/>
              <w:sz w:val="28"/>
              <w:szCs w:val="40"/>
            </w:rPr>
            <w:fldChar w:fldCharType="separate"/>
          </w:r>
          <w:r>
            <w:rPr>
              <w:rFonts w:hint="eastAsia" w:ascii="宋体" w:hAnsi="宋体" w:eastAsia="宋体" w:cs="宋体"/>
              <w:bCs/>
              <w:sz w:val="28"/>
              <w:szCs w:val="44"/>
            </w:rPr>
            <w:t>3.1</w:t>
          </w:r>
          <w:r>
            <w:rPr>
              <w:rFonts w:hint="eastAsia" w:ascii="宋体" w:hAnsi="宋体" w:eastAsia="宋体" w:cs="宋体"/>
              <w:bCs/>
              <w:sz w:val="28"/>
              <w:szCs w:val="44"/>
              <w:lang w:val="en-US" w:eastAsia="zh-CN"/>
            </w:rPr>
            <w:t>危险废物</w:t>
          </w:r>
          <w:r>
            <w:rPr>
              <w:rFonts w:hint="eastAsia" w:ascii="宋体" w:hAnsi="宋体" w:eastAsia="宋体" w:cs="宋体"/>
              <w:bCs/>
              <w:sz w:val="28"/>
              <w:szCs w:val="44"/>
            </w:rPr>
            <w:t>鉴别报告管理</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_Toc25629 </w:instrText>
          </w:r>
          <w:r>
            <w:rPr>
              <w:rFonts w:hint="eastAsia" w:ascii="宋体" w:hAnsi="宋体" w:eastAsia="宋体" w:cs="宋体"/>
              <w:sz w:val="28"/>
              <w:szCs w:val="36"/>
            </w:rPr>
            <w:fldChar w:fldCharType="separate"/>
          </w:r>
          <w:r>
            <w:rPr>
              <w:rFonts w:hint="eastAsia" w:ascii="宋体" w:hAnsi="宋体" w:eastAsia="宋体" w:cs="宋体"/>
              <w:sz w:val="28"/>
              <w:szCs w:val="36"/>
            </w:rPr>
            <w:t>7</w:t>
          </w:r>
          <w:r>
            <w:rPr>
              <w:rFonts w:hint="eastAsia" w:ascii="宋体" w:hAnsi="宋体" w:eastAsia="宋体" w:cs="宋体"/>
              <w:sz w:val="28"/>
              <w:szCs w:val="36"/>
            </w:rPr>
            <w:fldChar w:fldCharType="end"/>
          </w:r>
          <w:r>
            <w:rPr>
              <w:rFonts w:hint="eastAsia" w:ascii="宋体" w:hAnsi="宋体" w:eastAsia="宋体" w:cs="宋体"/>
              <w:bCs/>
              <w:kern w:val="44"/>
              <w:sz w:val="28"/>
              <w:szCs w:val="40"/>
            </w:rPr>
            <w:fldChar w:fldCharType="end"/>
          </w:r>
        </w:p>
        <w:p>
          <w:pPr>
            <w:pStyle w:val="8"/>
            <w:tabs>
              <w:tab w:val="right" w:leader="dot" w:pos="8306"/>
            </w:tabs>
            <w:rPr>
              <w:rFonts w:hint="eastAsia" w:ascii="宋体" w:hAnsi="宋体" w:eastAsia="宋体" w:cs="宋体"/>
              <w:sz w:val="28"/>
              <w:szCs w:val="36"/>
            </w:rPr>
          </w:pPr>
          <w:r>
            <w:rPr>
              <w:rFonts w:hint="eastAsia" w:ascii="宋体" w:hAnsi="宋体" w:eastAsia="宋体" w:cs="宋体"/>
              <w:bCs/>
              <w:kern w:val="44"/>
              <w:sz w:val="28"/>
              <w:szCs w:val="40"/>
            </w:rPr>
            <w:fldChar w:fldCharType="begin"/>
          </w:r>
          <w:r>
            <w:rPr>
              <w:rFonts w:hint="eastAsia" w:ascii="宋体" w:hAnsi="宋体" w:eastAsia="宋体" w:cs="宋体"/>
              <w:bCs/>
              <w:kern w:val="44"/>
              <w:sz w:val="28"/>
              <w:szCs w:val="40"/>
            </w:rPr>
            <w:instrText xml:space="preserve"> HYPERLINK \l _Toc9824 </w:instrText>
          </w:r>
          <w:r>
            <w:rPr>
              <w:rFonts w:hint="eastAsia" w:ascii="宋体" w:hAnsi="宋体" w:eastAsia="宋体" w:cs="宋体"/>
              <w:bCs/>
              <w:kern w:val="44"/>
              <w:sz w:val="28"/>
              <w:szCs w:val="40"/>
            </w:rPr>
            <w:fldChar w:fldCharType="separate"/>
          </w:r>
          <w:r>
            <w:rPr>
              <w:rFonts w:hint="eastAsia" w:ascii="宋体" w:hAnsi="宋体" w:eastAsia="宋体" w:cs="宋体"/>
              <w:bCs/>
              <w:sz w:val="28"/>
              <w:szCs w:val="44"/>
            </w:rPr>
            <w:t>3.2</w:t>
          </w:r>
          <w:r>
            <w:rPr>
              <w:rFonts w:hint="eastAsia" w:ascii="宋体" w:hAnsi="宋体" w:eastAsia="宋体" w:cs="宋体"/>
              <w:bCs/>
              <w:sz w:val="28"/>
              <w:szCs w:val="44"/>
              <w:lang w:val="en-US" w:eastAsia="zh-CN"/>
            </w:rPr>
            <w:t>危险废物</w:t>
          </w:r>
          <w:r>
            <w:rPr>
              <w:rFonts w:hint="eastAsia" w:ascii="宋体" w:hAnsi="宋体" w:eastAsia="宋体" w:cs="宋体"/>
              <w:bCs/>
              <w:sz w:val="28"/>
              <w:szCs w:val="44"/>
            </w:rPr>
            <w:t>鉴别单位查询</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_Toc9824 </w:instrText>
          </w:r>
          <w:r>
            <w:rPr>
              <w:rFonts w:hint="eastAsia" w:ascii="宋体" w:hAnsi="宋体" w:eastAsia="宋体" w:cs="宋体"/>
              <w:sz w:val="28"/>
              <w:szCs w:val="36"/>
            </w:rPr>
            <w:fldChar w:fldCharType="separate"/>
          </w:r>
          <w:r>
            <w:rPr>
              <w:rFonts w:hint="eastAsia" w:ascii="宋体" w:hAnsi="宋体" w:eastAsia="宋体" w:cs="宋体"/>
              <w:sz w:val="28"/>
              <w:szCs w:val="36"/>
            </w:rPr>
            <w:t>12</w:t>
          </w:r>
          <w:r>
            <w:rPr>
              <w:rFonts w:hint="eastAsia" w:ascii="宋体" w:hAnsi="宋体" w:eastAsia="宋体" w:cs="宋体"/>
              <w:sz w:val="28"/>
              <w:szCs w:val="36"/>
            </w:rPr>
            <w:fldChar w:fldCharType="end"/>
          </w:r>
          <w:r>
            <w:rPr>
              <w:rFonts w:hint="eastAsia" w:ascii="宋体" w:hAnsi="宋体" w:eastAsia="宋体" w:cs="宋体"/>
              <w:bCs/>
              <w:kern w:val="44"/>
              <w:sz w:val="28"/>
              <w:szCs w:val="40"/>
            </w:rPr>
            <w:fldChar w:fldCharType="end"/>
          </w:r>
        </w:p>
        <w:p>
          <w:pPr>
            <w:pStyle w:val="7"/>
            <w:tabs>
              <w:tab w:val="right" w:leader="dot" w:pos="8306"/>
            </w:tabs>
            <w:rPr>
              <w:rFonts w:hint="eastAsia" w:ascii="宋体" w:hAnsi="宋体" w:eastAsia="宋体" w:cs="宋体"/>
              <w:sz w:val="28"/>
              <w:szCs w:val="36"/>
            </w:rPr>
          </w:pPr>
          <w:r>
            <w:rPr>
              <w:rFonts w:hint="eastAsia" w:ascii="宋体" w:hAnsi="宋体" w:eastAsia="宋体" w:cs="宋体"/>
              <w:bCs/>
              <w:kern w:val="44"/>
              <w:sz w:val="28"/>
              <w:szCs w:val="40"/>
            </w:rPr>
            <w:fldChar w:fldCharType="begin"/>
          </w:r>
          <w:r>
            <w:rPr>
              <w:rFonts w:hint="eastAsia" w:ascii="宋体" w:hAnsi="宋体" w:eastAsia="宋体" w:cs="宋体"/>
              <w:bCs/>
              <w:kern w:val="44"/>
              <w:sz w:val="28"/>
              <w:szCs w:val="40"/>
            </w:rPr>
            <w:instrText xml:space="preserve"> HYPERLINK \l _Toc22994 </w:instrText>
          </w:r>
          <w:r>
            <w:rPr>
              <w:rFonts w:hint="eastAsia" w:ascii="宋体" w:hAnsi="宋体" w:eastAsia="宋体" w:cs="宋体"/>
              <w:bCs/>
              <w:kern w:val="44"/>
              <w:sz w:val="28"/>
              <w:szCs w:val="40"/>
            </w:rPr>
            <w:fldChar w:fldCharType="separate"/>
          </w:r>
          <w:r>
            <w:rPr>
              <w:rFonts w:hint="eastAsia" w:ascii="宋体" w:hAnsi="宋体" w:eastAsia="宋体" w:cs="宋体"/>
              <w:bCs/>
              <w:sz w:val="28"/>
              <w:szCs w:val="48"/>
            </w:rPr>
            <w:t>4.鉴别单位</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_Toc22994 </w:instrText>
          </w:r>
          <w:r>
            <w:rPr>
              <w:rFonts w:hint="eastAsia" w:ascii="宋体" w:hAnsi="宋体" w:eastAsia="宋体" w:cs="宋体"/>
              <w:sz w:val="28"/>
              <w:szCs w:val="36"/>
            </w:rPr>
            <w:fldChar w:fldCharType="separate"/>
          </w:r>
          <w:r>
            <w:rPr>
              <w:rFonts w:hint="eastAsia" w:ascii="宋体" w:hAnsi="宋体" w:eastAsia="宋体" w:cs="宋体"/>
              <w:sz w:val="28"/>
              <w:szCs w:val="36"/>
            </w:rPr>
            <w:t>12</w:t>
          </w:r>
          <w:r>
            <w:rPr>
              <w:rFonts w:hint="eastAsia" w:ascii="宋体" w:hAnsi="宋体" w:eastAsia="宋体" w:cs="宋体"/>
              <w:sz w:val="28"/>
              <w:szCs w:val="36"/>
            </w:rPr>
            <w:fldChar w:fldCharType="end"/>
          </w:r>
          <w:r>
            <w:rPr>
              <w:rFonts w:hint="eastAsia" w:ascii="宋体" w:hAnsi="宋体" w:eastAsia="宋体" w:cs="宋体"/>
              <w:bCs/>
              <w:kern w:val="44"/>
              <w:sz w:val="28"/>
              <w:szCs w:val="40"/>
            </w:rPr>
            <w:fldChar w:fldCharType="end"/>
          </w:r>
        </w:p>
        <w:p>
          <w:pPr>
            <w:pStyle w:val="8"/>
            <w:tabs>
              <w:tab w:val="right" w:leader="dot" w:pos="8306"/>
            </w:tabs>
            <w:rPr>
              <w:rFonts w:hint="eastAsia" w:ascii="宋体" w:hAnsi="宋体" w:eastAsia="宋体" w:cs="宋体"/>
              <w:sz w:val="28"/>
              <w:szCs w:val="36"/>
            </w:rPr>
          </w:pPr>
          <w:r>
            <w:rPr>
              <w:rFonts w:hint="eastAsia" w:ascii="宋体" w:hAnsi="宋体" w:eastAsia="宋体" w:cs="宋体"/>
              <w:bCs/>
              <w:kern w:val="44"/>
              <w:sz w:val="28"/>
              <w:szCs w:val="40"/>
            </w:rPr>
            <w:fldChar w:fldCharType="begin"/>
          </w:r>
          <w:r>
            <w:rPr>
              <w:rFonts w:hint="eastAsia" w:ascii="宋体" w:hAnsi="宋体" w:eastAsia="宋体" w:cs="宋体"/>
              <w:bCs/>
              <w:kern w:val="44"/>
              <w:sz w:val="28"/>
              <w:szCs w:val="40"/>
            </w:rPr>
            <w:instrText xml:space="preserve"> HYPERLINK \l _Toc25275 </w:instrText>
          </w:r>
          <w:r>
            <w:rPr>
              <w:rFonts w:hint="eastAsia" w:ascii="宋体" w:hAnsi="宋体" w:eastAsia="宋体" w:cs="宋体"/>
              <w:bCs/>
              <w:kern w:val="44"/>
              <w:sz w:val="28"/>
              <w:szCs w:val="40"/>
            </w:rPr>
            <w:fldChar w:fldCharType="separate"/>
          </w:r>
          <w:r>
            <w:rPr>
              <w:rFonts w:hint="eastAsia" w:ascii="宋体" w:hAnsi="宋体" w:eastAsia="宋体" w:cs="宋体"/>
              <w:bCs/>
              <w:sz w:val="28"/>
              <w:szCs w:val="44"/>
            </w:rPr>
            <w:t>4.1</w:t>
          </w:r>
          <w:r>
            <w:rPr>
              <w:rFonts w:hint="eastAsia" w:ascii="宋体" w:hAnsi="宋体" w:eastAsia="宋体" w:cs="宋体"/>
              <w:bCs/>
              <w:sz w:val="28"/>
              <w:szCs w:val="44"/>
              <w:lang w:val="en-US" w:eastAsia="zh-CN"/>
            </w:rPr>
            <w:t>危险废物</w:t>
          </w:r>
          <w:r>
            <w:rPr>
              <w:rFonts w:hint="eastAsia" w:ascii="宋体" w:hAnsi="宋体" w:eastAsia="宋体" w:cs="宋体"/>
              <w:bCs/>
              <w:sz w:val="28"/>
              <w:szCs w:val="44"/>
            </w:rPr>
            <w:t>鉴别单位信息编辑</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_Toc25275 </w:instrText>
          </w:r>
          <w:r>
            <w:rPr>
              <w:rFonts w:hint="eastAsia" w:ascii="宋体" w:hAnsi="宋体" w:eastAsia="宋体" w:cs="宋体"/>
              <w:sz w:val="28"/>
              <w:szCs w:val="36"/>
            </w:rPr>
            <w:fldChar w:fldCharType="separate"/>
          </w:r>
          <w:r>
            <w:rPr>
              <w:rFonts w:hint="eastAsia" w:ascii="宋体" w:hAnsi="宋体" w:eastAsia="宋体" w:cs="宋体"/>
              <w:sz w:val="28"/>
              <w:szCs w:val="36"/>
            </w:rPr>
            <w:t>12</w:t>
          </w:r>
          <w:r>
            <w:rPr>
              <w:rFonts w:hint="eastAsia" w:ascii="宋体" w:hAnsi="宋体" w:eastAsia="宋体" w:cs="宋体"/>
              <w:sz w:val="28"/>
              <w:szCs w:val="36"/>
            </w:rPr>
            <w:fldChar w:fldCharType="end"/>
          </w:r>
          <w:r>
            <w:rPr>
              <w:rFonts w:hint="eastAsia" w:ascii="宋体" w:hAnsi="宋体" w:eastAsia="宋体" w:cs="宋体"/>
              <w:bCs/>
              <w:kern w:val="44"/>
              <w:sz w:val="28"/>
              <w:szCs w:val="40"/>
            </w:rPr>
            <w:fldChar w:fldCharType="end"/>
          </w:r>
        </w:p>
        <w:p>
          <w:pPr>
            <w:pStyle w:val="8"/>
            <w:tabs>
              <w:tab w:val="right" w:leader="dot" w:pos="8306"/>
            </w:tabs>
          </w:pPr>
          <w:r>
            <w:rPr>
              <w:rFonts w:hint="eastAsia" w:ascii="宋体" w:hAnsi="宋体" w:eastAsia="宋体" w:cs="宋体"/>
              <w:bCs/>
              <w:kern w:val="44"/>
              <w:sz w:val="28"/>
              <w:szCs w:val="40"/>
            </w:rPr>
            <w:fldChar w:fldCharType="begin"/>
          </w:r>
          <w:r>
            <w:rPr>
              <w:rFonts w:hint="eastAsia" w:ascii="宋体" w:hAnsi="宋体" w:eastAsia="宋体" w:cs="宋体"/>
              <w:bCs/>
              <w:kern w:val="44"/>
              <w:sz w:val="28"/>
              <w:szCs w:val="40"/>
            </w:rPr>
            <w:instrText xml:space="preserve"> HYPERLINK \l _Toc26745 </w:instrText>
          </w:r>
          <w:r>
            <w:rPr>
              <w:rFonts w:hint="eastAsia" w:ascii="宋体" w:hAnsi="宋体" w:eastAsia="宋体" w:cs="宋体"/>
              <w:bCs/>
              <w:kern w:val="44"/>
              <w:sz w:val="28"/>
              <w:szCs w:val="40"/>
            </w:rPr>
            <w:fldChar w:fldCharType="separate"/>
          </w:r>
          <w:r>
            <w:rPr>
              <w:rFonts w:hint="eastAsia" w:ascii="宋体" w:hAnsi="宋体" w:eastAsia="宋体" w:cs="宋体"/>
              <w:bCs/>
              <w:sz w:val="28"/>
              <w:szCs w:val="44"/>
            </w:rPr>
            <w:t>4.2</w:t>
          </w:r>
          <w:r>
            <w:rPr>
              <w:rFonts w:hint="eastAsia" w:ascii="宋体" w:hAnsi="宋体" w:eastAsia="宋体" w:cs="宋体"/>
              <w:bCs/>
              <w:sz w:val="28"/>
              <w:szCs w:val="44"/>
              <w:lang w:val="en-US" w:eastAsia="zh-CN"/>
            </w:rPr>
            <w:t>危险废物</w:t>
          </w:r>
          <w:r>
            <w:rPr>
              <w:rFonts w:hint="eastAsia" w:ascii="宋体" w:hAnsi="宋体" w:eastAsia="宋体" w:cs="宋体"/>
              <w:bCs/>
              <w:sz w:val="28"/>
              <w:szCs w:val="44"/>
            </w:rPr>
            <w:t>鉴别</w:t>
          </w:r>
          <w:r>
            <w:rPr>
              <w:rFonts w:hint="eastAsia" w:ascii="宋体" w:hAnsi="宋体" w:eastAsia="宋体" w:cs="宋体"/>
              <w:bCs/>
              <w:sz w:val="28"/>
              <w:szCs w:val="44"/>
              <w:lang w:val="en-US" w:eastAsia="zh-CN"/>
            </w:rPr>
            <w:t>报告管理</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_Toc26745 </w:instrText>
          </w:r>
          <w:r>
            <w:rPr>
              <w:rFonts w:hint="eastAsia" w:ascii="宋体" w:hAnsi="宋体" w:eastAsia="宋体" w:cs="宋体"/>
              <w:sz w:val="28"/>
              <w:szCs w:val="36"/>
            </w:rPr>
            <w:fldChar w:fldCharType="separate"/>
          </w:r>
          <w:r>
            <w:rPr>
              <w:rFonts w:hint="eastAsia" w:ascii="宋体" w:hAnsi="宋体" w:eastAsia="宋体" w:cs="宋体"/>
              <w:sz w:val="28"/>
              <w:szCs w:val="36"/>
            </w:rPr>
            <w:t>14</w:t>
          </w:r>
          <w:r>
            <w:rPr>
              <w:rFonts w:hint="eastAsia" w:ascii="宋体" w:hAnsi="宋体" w:eastAsia="宋体" w:cs="宋体"/>
              <w:sz w:val="28"/>
              <w:szCs w:val="36"/>
            </w:rPr>
            <w:fldChar w:fldCharType="end"/>
          </w:r>
          <w:r>
            <w:rPr>
              <w:rFonts w:hint="eastAsia" w:ascii="宋体" w:hAnsi="宋体" w:eastAsia="宋体" w:cs="宋体"/>
              <w:bCs/>
              <w:kern w:val="44"/>
              <w:sz w:val="28"/>
              <w:szCs w:val="40"/>
            </w:rPr>
            <w:fldChar w:fldCharType="end"/>
          </w:r>
        </w:p>
        <w:p>
          <w:pPr>
            <w:spacing w:line="360" w:lineRule="auto"/>
            <w:rPr>
              <w:rFonts w:ascii="黑体" w:hAnsi="黑体" w:eastAsia="黑体" w:cs="黑体"/>
              <w:bCs/>
            </w:rPr>
          </w:pPr>
          <w:r>
            <w:rPr>
              <w:rFonts w:hint="eastAsia" w:ascii="黑体" w:hAnsi="黑体" w:eastAsia="黑体" w:cs="黑体"/>
              <w:bCs/>
              <w:kern w:val="44"/>
              <w:szCs w:val="28"/>
            </w:rPr>
            <w:fldChar w:fldCharType="end"/>
          </w:r>
        </w:p>
      </w:sdtContent>
    </w:sdt>
    <w:p>
      <w:pPr>
        <w:tabs>
          <w:tab w:val="left" w:pos="6159"/>
        </w:tabs>
        <w:jc w:val="left"/>
        <w:rPr>
          <w:rFonts w:hint="eastAsia" w:eastAsiaTheme="minorEastAsia"/>
          <w:sz w:val="44"/>
          <w:lang w:eastAsia="zh-CN"/>
        </w:rPr>
      </w:pPr>
      <w:r>
        <w:rPr>
          <w:rFonts w:hint="eastAsia"/>
          <w:sz w:val="44"/>
          <w:lang w:eastAsia="zh-CN"/>
        </w:rPr>
        <w:tab/>
      </w:r>
      <w:bookmarkStart w:id="10" w:name="_GoBack"/>
      <w:bookmarkEnd w:id="10"/>
    </w:p>
    <w:p>
      <w:pPr>
        <w:jc w:val="center"/>
        <w:rPr>
          <w:sz w:val="44"/>
        </w:rPr>
      </w:pPr>
    </w:p>
    <w:p>
      <w:pPr>
        <w:jc w:val="center"/>
        <w:rPr>
          <w:sz w:val="44"/>
        </w:rPr>
      </w:pPr>
    </w:p>
    <w:p>
      <w:pPr>
        <w:tabs>
          <w:tab w:val="left" w:pos="2860"/>
        </w:tabs>
        <w:jc w:val="left"/>
        <w:rPr>
          <w:sz w:val="44"/>
        </w:rPr>
      </w:pPr>
      <w:r>
        <w:rPr>
          <w:sz w:val="44"/>
        </w:rPr>
        <w:tab/>
      </w:r>
    </w:p>
    <w:p>
      <w:pPr>
        <w:jc w:val="center"/>
        <w:rPr>
          <w:sz w:val="44"/>
        </w:rPr>
      </w:pPr>
    </w:p>
    <w:p>
      <w:pPr>
        <w:jc w:val="center"/>
        <w:rPr>
          <w:rFonts w:hint="eastAsia"/>
          <w:sz w:val="44"/>
        </w:rPr>
        <w:sectPr>
          <w:footerReference r:id="rId5" w:type="default"/>
          <w:pgSz w:w="11906" w:h="16838"/>
          <w:pgMar w:top="1440" w:right="1800" w:bottom="1440" w:left="1800" w:header="1134" w:footer="1191" w:gutter="0"/>
          <w:pgNumType w:start="1"/>
          <w:cols w:space="425" w:num="1"/>
          <w:docGrid w:type="lines" w:linePitch="312" w:charSpace="0"/>
        </w:sectPr>
      </w:pPr>
    </w:p>
    <w:p>
      <w:pPr>
        <w:jc w:val="center"/>
        <w:rPr>
          <w:rFonts w:ascii="黑体" w:hAnsi="黑体" w:eastAsia="黑体" w:cs="黑体"/>
          <w:bCs/>
        </w:rPr>
      </w:pPr>
      <w:r>
        <w:rPr>
          <w:rFonts w:hint="eastAsia"/>
          <w:sz w:val="44"/>
        </w:rPr>
        <w:t>危险废物鉴别信息平台</w:t>
      </w:r>
    </w:p>
    <w:p>
      <w:pPr>
        <w:pStyle w:val="2"/>
        <w:numPr>
          <w:ilvl w:val="0"/>
          <w:numId w:val="1"/>
        </w:numPr>
        <w:spacing w:before="312" w:beforeLines="100" w:after="312" w:afterLines="100" w:line="360" w:lineRule="auto"/>
        <w:rPr>
          <w:rFonts w:ascii="黑体" w:hAnsi="黑体" w:eastAsia="黑体" w:cs="Times New Roman"/>
          <w:bCs/>
          <w:sz w:val="36"/>
          <w:szCs w:val="36"/>
        </w:rPr>
      </w:pPr>
      <w:bookmarkStart w:id="2" w:name="_Toc12838"/>
      <w:r>
        <w:rPr>
          <w:rFonts w:hint="eastAsia" w:ascii="黑体" w:hAnsi="黑体" w:eastAsia="黑体" w:cs="Times New Roman"/>
          <w:bCs/>
          <w:sz w:val="36"/>
          <w:szCs w:val="36"/>
        </w:rPr>
        <w:t>业务流程图</w:t>
      </w:r>
      <w:bookmarkEnd w:id="2"/>
    </w:p>
    <w:p>
      <w:r>
        <w:drawing>
          <wp:inline distT="0" distB="0" distL="0" distR="0">
            <wp:extent cx="5274310" cy="1660525"/>
            <wp:effectExtent l="0" t="0" r="889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a:stretch>
                      <a:fillRect/>
                    </a:stretch>
                  </pic:blipFill>
                  <pic:spPr>
                    <a:xfrm>
                      <a:off x="0" y="0"/>
                      <a:ext cx="5274310" cy="1660525"/>
                    </a:xfrm>
                    <a:prstGeom prst="rect">
                      <a:avLst/>
                    </a:prstGeom>
                  </pic:spPr>
                </pic:pic>
              </a:graphicData>
            </a:graphic>
          </wp:inline>
        </w:drawing>
      </w:r>
    </w:p>
    <w:p>
      <w:pPr>
        <w:pStyle w:val="2"/>
        <w:numPr>
          <w:ilvl w:val="0"/>
          <w:numId w:val="1"/>
        </w:numPr>
        <w:spacing w:before="312" w:beforeLines="100" w:after="312" w:afterLines="100" w:line="360" w:lineRule="auto"/>
        <w:rPr>
          <w:rFonts w:ascii="黑体" w:hAnsi="黑体" w:eastAsia="黑体" w:cs="Times New Roman"/>
          <w:bCs/>
          <w:sz w:val="36"/>
          <w:szCs w:val="36"/>
        </w:rPr>
      </w:pPr>
      <w:r>
        <w:rPr>
          <w:rFonts w:hint="eastAsia" w:ascii="黑体" w:hAnsi="黑体" w:eastAsia="黑体" w:cs="Times New Roman"/>
          <w:bCs/>
          <w:sz w:val="36"/>
          <w:szCs w:val="36"/>
        </w:rPr>
        <w:t xml:space="preserve"> </w:t>
      </w:r>
      <w:bookmarkStart w:id="3" w:name="_Toc17814"/>
      <w:r>
        <w:rPr>
          <w:rFonts w:hint="eastAsia" w:ascii="黑体" w:hAnsi="黑体" w:eastAsia="黑体" w:cs="Times New Roman"/>
          <w:bCs/>
          <w:sz w:val="36"/>
          <w:szCs w:val="36"/>
        </w:rPr>
        <w:t>注册</w:t>
      </w:r>
      <w:bookmarkEnd w:id="3"/>
    </w:p>
    <w:p>
      <w:pPr>
        <w:spacing w:line="360" w:lineRule="auto"/>
        <w:ind w:left="420"/>
        <w:rPr>
          <w:b/>
          <w:bCs/>
          <w:sz w:val="24"/>
        </w:rPr>
      </w:pPr>
      <w:r>
        <w:rPr>
          <w:rFonts w:hint="eastAsia"/>
          <w:b/>
          <w:bCs/>
          <w:sz w:val="28"/>
          <w:szCs w:val="28"/>
        </w:rPr>
        <w:t>鉴别委托单位</w:t>
      </w:r>
    </w:p>
    <w:p>
      <w:pPr>
        <w:spacing w:line="360" w:lineRule="auto"/>
        <w:ind w:left="420"/>
        <w:rPr>
          <w:sz w:val="24"/>
        </w:rPr>
      </w:pPr>
    </w:p>
    <w:p>
      <w:pPr>
        <w:numPr>
          <w:ilvl w:val="1"/>
          <w:numId w:val="2"/>
        </w:numPr>
        <w:spacing w:line="360" w:lineRule="auto"/>
        <w:ind w:left="777" w:hanging="357"/>
        <w:rPr>
          <w:rFonts w:ascii="Calibri" w:hAnsi="Calibri" w:eastAsia="宋体" w:cs="Times New Roman"/>
          <w:sz w:val="24"/>
        </w:rPr>
      </w:pPr>
      <w:r>
        <w:rPr>
          <w:rFonts w:hint="eastAsia" w:ascii="Calibri" w:hAnsi="Calibri" w:eastAsia="宋体" w:cs="Times New Roman"/>
          <w:sz w:val="24"/>
        </w:rPr>
        <w:t>企业线下沟通，向所在地管理单位申请注册码，下一步填写企业注册信息时使用；（鉴别委托单位不需要注册码）</w:t>
      </w:r>
    </w:p>
    <w:p>
      <w:pPr>
        <w:numPr>
          <w:ilvl w:val="1"/>
          <w:numId w:val="2"/>
        </w:numPr>
        <w:spacing w:line="360" w:lineRule="auto"/>
        <w:ind w:left="777" w:hanging="357"/>
        <w:rPr>
          <w:rFonts w:ascii="Calibri" w:hAnsi="Calibri" w:eastAsia="宋体" w:cs="Times New Roman"/>
          <w:sz w:val="24"/>
        </w:rPr>
      </w:pPr>
      <w:r>
        <w:rPr>
          <w:rFonts w:hint="eastAsia" w:ascii="Calibri" w:hAnsi="Calibri" w:eastAsia="宋体" w:cs="Times New Roman"/>
          <w:sz w:val="24"/>
        </w:rPr>
        <w:t>谷歌浏览器中输入系统网址：</w:t>
      </w:r>
      <w:r>
        <w:fldChar w:fldCharType="begin"/>
      </w:r>
      <w:r>
        <w:instrText xml:space="preserve"> HYPERLINK "https://gfmh.meescc.cn/" </w:instrText>
      </w:r>
      <w:r>
        <w:fldChar w:fldCharType="separate"/>
      </w:r>
      <w:r>
        <w:rPr>
          <w:rFonts w:hint="eastAsia" w:ascii="Calibri" w:hAnsi="Calibri" w:eastAsia="宋体" w:cs="Times New Roman"/>
          <w:sz w:val="24"/>
        </w:rPr>
        <w:t>https://gfmh.meescc.cn/</w:t>
      </w:r>
      <w:r>
        <w:rPr>
          <w:rFonts w:hint="eastAsia" w:ascii="Calibri" w:hAnsi="Calibri" w:eastAsia="宋体" w:cs="Times New Roman"/>
          <w:sz w:val="24"/>
        </w:rPr>
        <w:fldChar w:fldCharType="end"/>
      </w:r>
    </w:p>
    <w:p>
      <w:pPr>
        <w:numPr>
          <w:ilvl w:val="1"/>
          <w:numId w:val="2"/>
        </w:numPr>
        <w:spacing w:line="360" w:lineRule="auto"/>
        <w:ind w:left="777" w:hanging="357"/>
        <w:rPr>
          <w:rFonts w:ascii="Calibri" w:hAnsi="Calibri" w:eastAsia="宋体" w:cs="Times New Roman"/>
          <w:sz w:val="24"/>
        </w:rPr>
      </w:pPr>
      <w:r>
        <w:rPr>
          <w:rFonts w:hint="eastAsia" w:ascii="Calibri" w:hAnsi="Calibri" w:eastAsia="宋体" w:cs="Times New Roman"/>
          <w:sz w:val="24"/>
          <w:lang w:val="en-US" w:eastAsia="zh-CN"/>
        </w:rPr>
        <w:t>选择“全国危险废物鉴别信息公开服务平台”点击【去登陆】按钮，跳转到登陆注册页面，点击【单位注册】按钮进行注册</w:t>
      </w:r>
    </w:p>
    <w:p>
      <w:pPr>
        <w:spacing w:line="360" w:lineRule="auto"/>
        <w:ind w:left="420"/>
      </w:pPr>
      <w:r>
        <w:drawing>
          <wp:inline distT="0" distB="0" distL="114300" distR="114300">
            <wp:extent cx="5266690" cy="2369820"/>
            <wp:effectExtent l="0" t="0" r="3810" b="508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9"/>
                    <a:stretch>
                      <a:fillRect/>
                    </a:stretch>
                  </pic:blipFill>
                  <pic:spPr>
                    <a:xfrm>
                      <a:off x="0" y="0"/>
                      <a:ext cx="5266690" cy="2369820"/>
                    </a:xfrm>
                    <a:prstGeom prst="rect">
                      <a:avLst/>
                    </a:prstGeom>
                    <a:noFill/>
                    <a:ln>
                      <a:noFill/>
                    </a:ln>
                  </pic:spPr>
                </pic:pic>
              </a:graphicData>
            </a:graphic>
          </wp:inline>
        </w:drawing>
      </w:r>
    </w:p>
    <w:p>
      <w:pPr>
        <w:spacing w:line="360" w:lineRule="auto"/>
        <w:ind w:left="420"/>
      </w:pPr>
      <w:r>
        <w:drawing>
          <wp:inline distT="0" distB="0" distL="114300" distR="114300">
            <wp:extent cx="5266690" cy="2369820"/>
            <wp:effectExtent l="0" t="0" r="3810" b="508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0"/>
                    <a:stretch>
                      <a:fillRect/>
                    </a:stretch>
                  </pic:blipFill>
                  <pic:spPr>
                    <a:xfrm>
                      <a:off x="0" y="0"/>
                      <a:ext cx="5266690" cy="2369820"/>
                    </a:xfrm>
                    <a:prstGeom prst="rect">
                      <a:avLst/>
                    </a:prstGeom>
                    <a:noFill/>
                    <a:ln>
                      <a:noFill/>
                    </a:ln>
                  </pic:spPr>
                </pic:pic>
              </a:graphicData>
            </a:graphic>
          </wp:inline>
        </w:drawing>
      </w:r>
    </w:p>
    <w:p>
      <w:pPr>
        <w:numPr>
          <w:ilvl w:val="1"/>
          <w:numId w:val="2"/>
        </w:numPr>
        <w:spacing w:line="360" w:lineRule="auto"/>
        <w:ind w:left="777" w:hanging="357"/>
        <w:rPr>
          <w:rFonts w:ascii="Calibri" w:hAnsi="Calibri" w:eastAsia="宋体" w:cs="Times New Roman"/>
          <w:sz w:val="24"/>
        </w:rPr>
      </w:pPr>
      <w:r>
        <w:rPr>
          <w:rFonts w:hint="eastAsia" w:ascii="Calibri" w:hAnsi="Calibri" w:eastAsia="宋体" w:cs="Times New Roman"/>
          <w:sz w:val="24"/>
        </w:rPr>
        <w:t>选择要注册的企业角色   【</w:t>
      </w:r>
      <w:r>
        <w:rPr>
          <w:rFonts w:hint="eastAsia" w:ascii="Calibri" w:hAnsi="Calibri" w:eastAsia="宋体" w:cs="Times New Roman"/>
          <w:sz w:val="24"/>
          <w:lang w:val="en-US" w:eastAsia="zh-CN"/>
        </w:rPr>
        <w:t>鉴别委托</w:t>
      </w:r>
      <w:r>
        <w:rPr>
          <w:rFonts w:hint="eastAsia" w:ascii="Calibri" w:hAnsi="Calibri" w:eastAsia="宋体" w:cs="Times New Roman"/>
          <w:sz w:val="24"/>
        </w:rPr>
        <w:t>单位】：需要鉴别的产生固体废物的单位</w:t>
      </w:r>
    </w:p>
    <w:p>
      <w:pPr>
        <w:spacing w:line="360" w:lineRule="auto"/>
        <w:ind w:left="420"/>
        <w:rPr>
          <w:sz w:val="24"/>
        </w:rPr>
      </w:pPr>
      <w:r>
        <w:drawing>
          <wp:inline distT="0" distB="0" distL="114300" distR="114300">
            <wp:extent cx="5266690" cy="2369820"/>
            <wp:effectExtent l="0" t="0" r="3810" b="508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1"/>
                    <a:stretch>
                      <a:fillRect/>
                    </a:stretch>
                  </pic:blipFill>
                  <pic:spPr>
                    <a:xfrm>
                      <a:off x="0" y="0"/>
                      <a:ext cx="5266690" cy="2369820"/>
                    </a:xfrm>
                    <a:prstGeom prst="rect">
                      <a:avLst/>
                    </a:prstGeom>
                    <a:noFill/>
                    <a:ln>
                      <a:noFill/>
                    </a:ln>
                  </pic:spPr>
                </pic:pic>
              </a:graphicData>
            </a:graphic>
          </wp:inline>
        </w:drawing>
      </w:r>
    </w:p>
    <w:p>
      <w:pPr>
        <w:numPr>
          <w:ilvl w:val="1"/>
          <w:numId w:val="2"/>
        </w:numPr>
        <w:spacing w:line="360" w:lineRule="auto"/>
        <w:ind w:left="777" w:hanging="357"/>
        <w:rPr>
          <w:rFonts w:ascii="Calibri" w:hAnsi="Calibri" w:eastAsia="宋体" w:cs="Times New Roman"/>
          <w:sz w:val="24"/>
        </w:rPr>
      </w:pPr>
      <w:r>
        <w:rPr>
          <w:rFonts w:hint="eastAsia" w:ascii="Calibri" w:hAnsi="Calibri" w:eastAsia="宋体" w:cs="Times New Roman"/>
          <w:sz w:val="24"/>
        </w:rPr>
        <w:t>点击【选择】</w:t>
      </w:r>
      <w:r>
        <w:rPr>
          <w:rFonts w:ascii="Calibri" w:hAnsi="Calibri" w:eastAsia="宋体" w:cs="Times New Roman"/>
          <w:sz w:val="24"/>
        </w:rPr>
        <w:t>按钮</w:t>
      </w:r>
      <w:r>
        <w:rPr>
          <w:rFonts w:hint="eastAsia" w:ascii="Calibri" w:hAnsi="Calibri" w:eastAsia="宋体" w:cs="Times New Roman"/>
          <w:sz w:val="24"/>
        </w:rPr>
        <w:t>查询</w:t>
      </w:r>
      <w:r>
        <w:rPr>
          <w:rFonts w:ascii="Calibri" w:hAnsi="Calibri" w:eastAsia="宋体" w:cs="Times New Roman"/>
          <w:sz w:val="24"/>
        </w:rPr>
        <w:t>并选择</w:t>
      </w:r>
      <w:r>
        <w:rPr>
          <w:rFonts w:hint="eastAsia" w:ascii="Calibri" w:hAnsi="Calibri" w:eastAsia="宋体" w:cs="Times New Roman"/>
          <w:sz w:val="24"/>
        </w:rPr>
        <w:t>全国固体废物管理信息系统中存在的企业</w:t>
      </w:r>
    </w:p>
    <w:p>
      <w:pPr>
        <w:spacing w:line="360" w:lineRule="auto"/>
        <w:ind w:left="420"/>
        <w:rPr>
          <w:sz w:val="24"/>
        </w:rPr>
      </w:pPr>
      <w:r>
        <w:drawing>
          <wp:inline distT="0" distB="0" distL="114300" distR="114300">
            <wp:extent cx="5266690" cy="2356485"/>
            <wp:effectExtent l="0" t="0" r="3810" b="571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2"/>
                    <a:stretch>
                      <a:fillRect/>
                    </a:stretch>
                  </pic:blipFill>
                  <pic:spPr>
                    <a:xfrm>
                      <a:off x="0" y="0"/>
                      <a:ext cx="5266690" cy="2356485"/>
                    </a:xfrm>
                    <a:prstGeom prst="rect">
                      <a:avLst/>
                    </a:prstGeom>
                    <a:noFill/>
                    <a:ln>
                      <a:noFill/>
                    </a:ln>
                  </pic:spPr>
                </pic:pic>
              </a:graphicData>
            </a:graphic>
          </wp:inline>
        </w:drawing>
      </w:r>
    </w:p>
    <w:p>
      <w:pPr>
        <w:spacing w:line="360" w:lineRule="auto"/>
        <w:ind w:left="420"/>
        <w:rPr>
          <w:sz w:val="24"/>
        </w:rPr>
      </w:pPr>
      <w:r>
        <w:drawing>
          <wp:inline distT="0" distB="0" distL="114300" distR="114300">
            <wp:extent cx="5266690" cy="2367280"/>
            <wp:effectExtent l="0" t="0" r="3810" b="762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3"/>
                    <a:stretch>
                      <a:fillRect/>
                    </a:stretch>
                  </pic:blipFill>
                  <pic:spPr>
                    <a:xfrm>
                      <a:off x="0" y="0"/>
                      <a:ext cx="5266690" cy="2367280"/>
                    </a:xfrm>
                    <a:prstGeom prst="rect">
                      <a:avLst/>
                    </a:prstGeom>
                    <a:noFill/>
                    <a:ln>
                      <a:noFill/>
                    </a:ln>
                  </pic:spPr>
                </pic:pic>
              </a:graphicData>
            </a:graphic>
          </wp:inline>
        </w:drawing>
      </w:r>
    </w:p>
    <w:p>
      <w:pPr>
        <w:numPr>
          <w:ilvl w:val="1"/>
          <w:numId w:val="2"/>
        </w:numPr>
        <w:spacing w:line="360" w:lineRule="auto"/>
        <w:ind w:left="777" w:hanging="357"/>
        <w:rPr>
          <w:rFonts w:ascii="Calibri" w:hAnsi="Calibri" w:eastAsia="宋体" w:cs="Times New Roman"/>
          <w:sz w:val="24"/>
        </w:rPr>
      </w:pPr>
      <w:r>
        <w:rPr>
          <w:rFonts w:hint="eastAsia" w:ascii="Calibri" w:hAnsi="Calibri" w:eastAsia="宋体" w:cs="Times New Roman"/>
          <w:sz w:val="24"/>
        </w:rPr>
        <w:t>将企业基本信息填写完整（标星号为必填项）</w:t>
      </w:r>
    </w:p>
    <w:p>
      <w:pPr>
        <w:spacing w:line="360" w:lineRule="auto"/>
        <w:ind w:left="420"/>
        <w:rPr>
          <w:sz w:val="24"/>
        </w:rPr>
      </w:pPr>
      <w:r>
        <w:drawing>
          <wp:inline distT="0" distB="0" distL="114300" distR="114300">
            <wp:extent cx="5266690" cy="2369820"/>
            <wp:effectExtent l="0" t="0" r="3810" b="508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4"/>
                    <a:stretch>
                      <a:fillRect/>
                    </a:stretch>
                  </pic:blipFill>
                  <pic:spPr>
                    <a:xfrm>
                      <a:off x="0" y="0"/>
                      <a:ext cx="5266690" cy="2369820"/>
                    </a:xfrm>
                    <a:prstGeom prst="rect">
                      <a:avLst/>
                    </a:prstGeom>
                    <a:noFill/>
                    <a:ln>
                      <a:noFill/>
                    </a:ln>
                  </pic:spPr>
                </pic:pic>
              </a:graphicData>
            </a:graphic>
          </wp:inline>
        </w:drawing>
      </w:r>
    </w:p>
    <w:p>
      <w:pPr>
        <w:numPr>
          <w:ilvl w:val="1"/>
          <w:numId w:val="2"/>
        </w:numPr>
        <w:spacing w:line="360" w:lineRule="auto"/>
        <w:ind w:left="777" w:hanging="357"/>
        <w:rPr>
          <w:rFonts w:ascii="Calibri" w:hAnsi="Calibri" w:eastAsia="宋体" w:cs="Times New Roman"/>
          <w:sz w:val="24"/>
        </w:rPr>
      </w:pPr>
      <w:r>
        <w:rPr>
          <w:rFonts w:hint="eastAsia" w:ascii="Calibri" w:hAnsi="Calibri" w:eastAsia="宋体" w:cs="Times New Roman"/>
          <w:sz w:val="24"/>
        </w:rPr>
        <w:t>填写登录信息，登陆账号为手机号，通过手机短信验证获取验证码。用户密码为自定义。填写完成后点击立即注册，然后登陆即可</w:t>
      </w:r>
    </w:p>
    <w:p>
      <w:pPr>
        <w:rPr>
          <w:rFonts w:hint="eastAsia" w:eastAsiaTheme="minorEastAsia"/>
          <w:lang w:val="en-US" w:eastAsia="zh-CN"/>
        </w:rPr>
      </w:pPr>
      <w:r>
        <w:drawing>
          <wp:inline distT="0" distB="0" distL="114300" distR="114300">
            <wp:extent cx="5266690" cy="2369820"/>
            <wp:effectExtent l="0" t="0" r="3810" b="508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15"/>
                    <a:stretch>
                      <a:fillRect/>
                    </a:stretch>
                  </pic:blipFill>
                  <pic:spPr>
                    <a:xfrm>
                      <a:off x="0" y="0"/>
                      <a:ext cx="5266690" cy="2369820"/>
                    </a:xfrm>
                    <a:prstGeom prst="rect">
                      <a:avLst/>
                    </a:prstGeom>
                    <a:noFill/>
                    <a:ln>
                      <a:noFill/>
                    </a:ln>
                  </pic:spPr>
                </pic:pic>
              </a:graphicData>
            </a:graphic>
          </wp:inline>
        </w:drawing>
      </w:r>
      <w:r>
        <w:rPr>
          <w:rFonts w:hint="eastAsia"/>
          <w:lang w:val="en-US" w:eastAsia="zh-CN"/>
        </w:rPr>
        <w:t xml:space="preserve"> </w:t>
      </w:r>
    </w:p>
    <w:p/>
    <w:p>
      <w:pPr>
        <w:numPr>
          <w:ilvl w:val="1"/>
          <w:numId w:val="2"/>
        </w:numPr>
        <w:spacing w:line="360" w:lineRule="auto"/>
        <w:ind w:left="777" w:hanging="357"/>
        <w:rPr>
          <w:rFonts w:ascii="Calibri" w:hAnsi="Calibri" w:eastAsia="宋体" w:cs="Times New Roman"/>
          <w:sz w:val="24"/>
        </w:rPr>
      </w:pPr>
      <w:r>
        <w:rPr>
          <w:rFonts w:hint="eastAsia" w:ascii="Calibri" w:hAnsi="Calibri" w:eastAsia="宋体" w:cs="Times New Roman"/>
          <w:sz w:val="24"/>
        </w:rPr>
        <w:t>登录时</w:t>
      </w:r>
      <w:r>
        <w:rPr>
          <w:rFonts w:hint="eastAsia" w:ascii="Calibri" w:hAnsi="Calibri" w:eastAsia="宋体" w:cs="Times New Roman"/>
          <w:sz w:val="24"/>
          <w:lang w:val="en-US" w:eastAsia="zh-CN"/>
        </w:rPr>
        <w:t>点击</w:t>
      </w:r>
      <w:r>
        <w:rPr>
          <w:rFonts w:hint="eastAsia" w:ascii="Calibri" w:hAnsi="Calibri" w:eastAsia="宋体" w:cs="Times New Roman"/>
          <w:sz w:val="24"/>
        </w:rPr>
        <w:t>【</w:t>
      </w:r>
      <w:r>
        <w:rPr>
          <w:rFonts w:hint="eastAsia" w:ascii="Calibri" w:hAnsi="Calibri" w:eastAsia="宋体" w:cs="Times New Roman"/>
          <w:sz w:val="24"/>
          <w:lang w:val="en-US" w:eastAsia="zh-CN"/>
        </w:rPr>
        <w:t>去登陆</w:t>
      </w:r>
      <w:r>
        <w:rPr>
          <w:rFonts w:hint="eastAsia" w:ascii="Calibri" w:hAnsi="Calibri" w:eastAsia="宋体" w:cs="Times New Roman"/>
          <w:sz w:val="24"/>
        </w:rPr>
        <w:t>】，输入账号密码登陆</w:t>
      </w:r>
    </w:p>
    <w:p>
      <w:pPr>
        <w:spacing w:line="360" w:lineRule="auto"/>
        <w:ind w:left="420"/>
        <w:rPr>
          <w:rFonts w:ascii="Calibri" w:hAnsi="Calibri" w:eastAsia="宋体" w:cs="Times New Roman"/>
          <w:sz w:val="24"/>
        </w:rPr>
      </w:pPr>
    </w:p>
    <w:p>
      <w:r>
        <w:drawing>
          <wp:inline distT="0" distB="0" distL="114300" distR="114300">
            <wp:extent cx="5266690" cy="2369820"/>
            <wp:effectExtent l="0" t="0" r="3810" b="508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16"/>
                    <a:stretch>
                      <a:fillRect/>
                    </a:stretch>
                  </pic:blipFill>
                  <pic:spPr>
                    <a:xfrm>
                      <a:off x="0" y="0"/>
                      <a:ext cx="5266690" cy="2369820"/>
                    </a:xfrm>
                    <a:prstGeom prst="rect">
                      <a:avLst/>
                    </a:prstGeom>
                    <a:noFill/>
                    <a:ln>
                      <a:noFill/>
                    </a:ln>
                  </pic:spPr>
                </pic:pic>
              </a:graphicData>
            </a:graphic>
          </wp:inline>
        </w:drawing>
      </w:r>
    </w:p>
    <w:p>
      <w:pPr>
        <w:rPr>
          <w:rFonts w:hint="eastAsia"/>
        </w:rPr>
      </w:pPr>
      <w:r>
        <w:drawing>
          <wp:inline distT="0" distB="0" distL="114300" distR="114300">
            <wp:extent cx="5266690" cy="2369820"/>
            <wp:effectExtent l="0" t="0" r="3810" b="508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7"/>
                    <a:stretch>
                      <a:fillRect/>
                    </a:stretch>
                  </pic:blipFill>
                  <pic:spPr>
                    <a:xfrm>
                      <a:off x="0" y="0"/>
                      <a:ext cx="5266690" cy="2369820"/>
                    </a:xfrm>
                    <a:prstGeom prst="rect">
                      <a:avLst/>
                    </a:prstGeom>
                    <a:noFill/>
                    <a:ln>
                      <a:noFill/>
                    </a:ln>
                  </pic:spPr>
                </pic:pic>
              </a:graphicData>
            </a:graphic>
          </wp:inline>
        </w:drawing>
      </w:r>
    </w:p>
    <w:p>
      <w:pPr>
        <w:rPr>
          <w:rFonts w:ascii="宋体" w:hAnsi="宋体" w:eastAsia="宋体" w:cs="宋体"/>
          <w:b/>
          <w:sz w:val="28"/>
          <w:szCs w:val="28"/>
        </w:rPr>
      </w:pPr>
      <w:r>
        <w:rPr>
          <w:rFonts w:hint="eastAsia" w:ascii="宋体" w:hAnsi="宋体" w:eastAsia="宋体" w:cs="宋体"/>
          <w:b/>
          <w:sz w:val="28"/>
          <w:szCs w:val="28"/>
        </w:rPr>
        <w:t>鉴别单位</w:t>
      </w:r>
    </w:p>
    <w:p>
      <w:pPr>
        <w:rPr>
          <w:rFonts w:ascii="宋体" w:hAnsi="宋体" w:eastAsia="宋体" w:cs="宋体"/>
          <w:bCs/>
          <w:sz w:val="24"/>
        </w:rPr>
      </w:pPr>
    </w:p>
    <w:p>
      <w:pPr>
        <w:rPr>
          <w:rFonts w:ascii="宋体" w:hAnsi="宋体" w:eastAsia="宋体" w:cs="宋体"/>
          <w:bCs/>
          <w:color w:val="FF0000"/>
          <w:szCs w:val="21"/>
        </w:rPr>
      </w:pPr>
      <w:r>
        <w:rPr>
          <w:rFonts w:hint="eastAsia" w:ascii="宋体" w:hAnsi="宋体" w:eastAsia="宋体" w:cs="宋体"/>
          <w:bCs/>
          <w:color w:val="FF0000"/>
          <w:szCs w:val="21"/>
        </w:rPr>
        <w:t>注：【鉴别单位】在注册前需要联系环保局申请注册码，注册填报时需要使用</w:t>
      </w:r>
    </w:p>
    <w:p>
      <w:pPr>
        <w:rPr>
          <w:rFonts w:ascii="宋体" w:hAnsi="宋体" w:eastAsia="宋体" w:cs="宋体"/>
          <w:bCs/>
          <w:szCs w:val="21"/>
        </w:rPr>
      </w:pPr>
    </w:p>
    <w:p>
      <w:pPr>
        <w:numPr>
          <w:ilvl w:val="0"/>
          <w:numId w:val="3"/>
        </w:numPr>
        <w:rPr>
          <w:rFonts w:ascii="宋体" w:hAnsi="宋体" w:eastAsia="宋体" w:cs="宋体"/>
          <w:bCs/>
          <w:sz w:val="24"/>
        </w:rPr>
      </w:pPr>
      <w:r>
        <w:rPr>
          <w:rFonts w:hint="eastAsia" w:ascii="Calibri" w:hAnsi="Calibri" w:eastAsia="宋体" w:cs="Times New Roman"/>
          <w:sz w:val="24"/>
        </w:rPr>
        <w:t>同上，企业角色选择【鉴别单位】</w:t>
      </w:r>
    </w:p>
    <w:p>
      <w:r>
        <w:drawing>
          <wp:inline distT="0" distB="0" distL="114300" distR="114300">
            <wp:extent cx="5266690" cy="2369820"/>
            <wp:effectExtent l="0" t="0" r="3810" b="508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18"/>
                    <a:stretch>
                      <a:fillRect/>
                    </a:stretch>
                  </pic:blipFill>
                  <pic:spPr>
                    <a:xfrm>
                      <a:off x="0" y="0"/>
                      <a:ext cx="5266690" cy="2369820"/>
                    </a:xfrm>
                    <a:prstGeom prst="rect">
                      <a:avLst/>
                    </a:prstGeom>
                    <a:noFill/>
                    <a:ln>
                      <a:noFill/>
                    </a:ln>
                  </pic:spPr>
                </pic:pic>
              </a:graphicData>
            </a:graphic>
          </wp:inline>
        </w:drawing>
      </w:r>
    </w:p>
    <w:p>
      <w:pPr>
        <w:numPr>
          <w:ilvl w:val="0"/>
          <w:numId w:val="3"/>
        </w:numPr>
        <w:rPr>
          <w:rFonts w:ascii="Calibri" w:hAnsi="Calibri" w:eastAsia="宋体" w:cs="Times New Roman"/>
          <w:sz w:val="24"/>
        </w:rPr>
      </w:pPr>
      <w:r>
        <w:rPr>
          <w:rFonts w:hint="eastAsia" w:ascii="Calibri" w:hAnsi="Calibri" w:eastAsia="宋体" w:cs="Times New Roman"/>
          <w:sz w:val="24"/>
          <w:lang w:val="en-US" w:eastAsia="zh-CN"/>
        </w:rPr>
        <w:t>首先需要填写管理部门下发的注册码，然后再</w:t>
      </w:r>
      <w:r>
        <w:rPr>
          <w:rFonts w:hint="eastAsia" w:ascii="Calibri" w:hAnsi="Calibri" w:eastAsia="宋体" w:cs="Times New Roman"/>
          <w:sz w:val="24"/>
        </w:rPr>
        <w:t>填写鉴别单位名称、统一社会信用代码、行政区划、鉴别单位地址、成立日期、法定代表人、联系人、联系方式、电子邮箱、官网、鉴别单位类别、鉴别技术人员情况、是否具有CMA资质、实验室能力情况、资质获奖情况、可鉴别的危险特性、鉴别业绩情况、自主声明盖章文件上传、其他资质上传，注册单位需同意危废鉴别的声明等，注册登录账号使用手机号码，并获取短信验证码验证通过，录入密码并确认密码，点击“立即注册”，注册成功后，登录页输入账号密码进入系统。</w:t>
      </w:r>
    </w:p>
    <w:p>
      <w:pPr>
        <w:widowControl w:val="0"/>
        <w:numPr>
          <w:ilvl w:val="0"/>
          <w:numId w:val="0"/>
        </w:numPr>
        <w:jc w:val="both"/>
        <w:rPr>
          <w:rFonts w:hint="eastAsia" w:ascii="Calibri" w:hAnsi="Calibri" w:eastAsia="宋体" w:cs="Times New Roman"/>
          <w:sz w:val="24"/>
        </w:rPr>
      </w:pPr>
    </w:p>
    <w:p>
      <w:pPr>
        <w:widowControl w:val="0"/>
        <w:numPr>
          <w:ilvl w:val="0"/>
          <w:numId w:val="0"/>
        </w:numPr>
        <w:jc w:val="both"/>
        <w:rPr>
          <w:rFonts w:hint="eastAsia" w:ascii="Calibri" w:hAnsi="Calibri" w:eastAsia="宋体" w:cs="Times New Roman"/>
          <w:sz w:val="24"/>
        </w:rPr>
      </w:pPr>
    </w:p>
    <w:p>
      <w:pPr>
        <w:spacing w:line="360" w:lineRule="auto"/>
        <w:ind w:firstLine="480" w:firstLineChars="200"/>
        <w:rPr>
          <w:sz w:val="24"/>
        </w:rPr>
      </w:pPr>
      <w:r>
        <w:rPr>
          <w:sz w:val="24"/>
        </w:rPr>
        <w:t>鉴别单位注册时</w:t>
      </w:r>
      <w:r>
        <w:rPr>
          <w:rFonts w:hint="eastAsia"/>
          <w:sz w:val="24"/>
        </w:rPr>
        <w:t>，</w:t>
      </w:r>
      <w:r>
        <w:rPr>
          <w:sz w:val="24"/>
        </w:rPr>
        <w:t>判断当前系统中是否已经注册过</w:t>
      </w:r>
      <w:r>
        <w:rPr>
          <w:rFonts w:hint="eastAsia"/>
          <w:sz w:val="24"/>
        </w:rPr>
        <w:t>，</w:t>
      </w:r>
      <w:r>
        <w:rPr>
          <w:sz w:val="24"/>
        </w:rPr>
        <w:t>如已注册获取</w:t>
      </w:r>
      <w:r>
        <w:rPr>
          <w:rFonts w:hint="eastAsia"/>
          <w:sz w:val="24"/>
        </w:rPr>
        <w:t>国家系统的企业基本信息，包括名称、统一代码、行政区划、法定代表人，不一致不允许提交。</w:t>
      </w:r>
    </w:p>
    <w:p>
      <w:pPr>
        <w:widowControl w:val="0"/>
        <w:numPr>
          <w:ilvl w:val="0"/>
          <w:numId w:val="0"/>
        </w:numPr>
        <w:jc w:val="both"/>
        <w:rPr>
          <w:rFonts w:hint="eastAsia" w:ascii="Calibri" w:hAnsi="Calibri" w:eastAsia="宋体" w:cs="Times New Roman"/>
          <w:sz w:val="24"/>
        </w:rPr>
      </w:pPr>
    </w:p>
    <w:p>
      <w:pPr>
        <w:spacing w:line="360" w:lineRule="auto"/>
        <w:rPr>
          <w:rFonts w:hint="default" w:eastAsiaTheme="minorEastAsia"/>
          <w:sz w:val="24"/>
          <w:lang w:val="en-US" w:eastAsia="zh-CN"/>
        </w:rPr>
      </w:pPr>
      <w:r>
        <w:drawing>
          <wp:inline distT="0" distB="0" distL="114300" distR="114300">
            <wp:extent cx="5266690" cy="2367280"/>
            <wp:effectExtent l="0" t="0" r="3810"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9"/>
                    <a:stretch>
                      <a:fillRect/>
                    </a:stretch>
                  </pic:blipFill>
                  <pic:spPr>
                    <a:xfrm>
                      <a:off x="0" y="0"/>
                      <a:ext cx="5266690" cy="2367280"/>
                    </a:xfrm>
                    <a:prstGeom prst="rect">
                      <a:avLst/>
                    </a:prstGeom>
                    <a:noFill/>
                    <a:ln>
                      <a:noFill/>
                    </a:ln>
                  </pic:spPr>
                </pic:pic>
              </a:graphicData>
            </a:graphic>
          </wp:inline>
        </w:drawing>
      </w:r>
      <w:r>
        <w:rPr>
          <w:rFonts w:hint="eastAsia"/>
          <w:lang w:val="en-US" w:eastAsia="zh-CN"/>
        </w:rPr>
        <w:t xml:space="preserve">                            </w:t>
      </w:r>
    </w:p>
    <w:p>
      <w:r>
        <w:drawing>
          <wp:inline distT="0" distB="0" distL="114300" distR="114300">
            <wp:extent cx="5266690" cy="2369820"/>
            <wp:effectExtent l="0" t="0" r="3810"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0"/>
                    <a:stretch>
                      <a:fillRect/>
                    </a:stretch>
                  </pic:blipFill>
                  <pic:spPr>
                    <a:xfrm>
                      <a:off x="0" y="0"/>
                      <a:ext cx="5266690" cy="2369820"/>
                    </a:xfrm>
                    <a:prstGeom prst="rect">
                      <a:avLst/>
                    </a:prstGeom>
                    <a:noFill/>
                    <a:ln>
                      <a:noFill/>
                    </a:ln>
                  </pic:spPr>
                </pic:pic>
              </a:graphicData>
            </a:graphic>
          </wp:inline>
        </w:drawing>
      </w:r>
    </w:p>
    <w:p/>
    <w:p/>
    <w:p>
      <w:pPr>
        <w:numPr>
          <w:ilvl w:val="0"/>
          <w:numId w:val="3"/>
        </w:numPr>
        <w:rPr>
          <w:rFonts w:ascii="Calibri" w:hAnsi="Calibri" w:eastAsia="宋体" w:cs="Times New Roman"/>
          <w:sz w:val="24"/>
        </w:rPr>
      </w:pPr>
      <w:r>
        <w:rPr>
          <w:rFonts w:hint="eastAsia" w:ascii="Calibri" w:hAnsi="Calibri" w:eastAsia="宋体" w:cs="Times New Roman"/>
          <w:sz w:val="24"/>
        </w:rPr>
        <w:t>无资质的单位至少填一个备选企业,最多可输入三个资质委托单位</w:t>
      </w:r>
    </w:p>
    <w:p>
      <w:pPr>
        <w:rPr>
          <w:rFonts w:ascii="Calibri" w:hAnsi="Calibri" w:eastAsia="宋体" w:cs="Times New Roman"/>
          <w:sz w:val="24"/>
        </w:rPr>
      </w:pPr>
    </w:p>
    <w:p>
      <w:pPr>
        <w:rPr>
          <w:sz w:val="24"/>
        </w:rPr>
      </w:pPr>
      <w:r>
        <w:rPr>
          <w:rFonts w:hint="eastAsia"/>
          <w:sz w:val="24"/>
        </w:rPr>
        <w:drawing>
          <wp:inline distT="0" distB="0" distL="114300" distR="114300">
            <wp:extent cx="5264150" cy="2331720"/>
            <wp:effectExtent l="0" t="0" r="6350" b="5080"/>
            <wp:docPr id="1" name="图片 1" descr="1623896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3896050(1)"/>
                    <pic:cNvPicPr>
                      <a:picLocks noChangeAspect="1"/>
                    </pic:cNvPicPr>
                  </pic:nvPicPr>
                  <pic:blipFill>
                    <a:blip r:embed="rId21"/>
                    <a:stretch>
                      <a:fillRect/>
                    </a:stretch>
                  </pic:blipFill>
                  <pic:spPr>
                    <a:xfrm>
                      <a:off x="0" y="0"/>
                      <a:ext cx="5264150" cy="2331720"/>
                    </a:xfrm>
                    <a:prstGeom prst="rect">
                      <a:avLst/>
                    </a:prstGeom>
                  </pic:spPr>
                </pic:pic>
              </a:graphicData>
            </a:graphic>
          </wp:inline>
        </w:drawing>
      </w:r>
    </w:p>
    <w:p>
      <w:pPr>
        <w:spacing w:line="360" w:lineRule="auto"/>
        <w:rPr>
          <w:rFonts w:hint="eastAsia"/>
          <w:sz w:val="24"/>
        </w:rPr>
      </w:pPr>
      <w:r>
        <w:drawing>
          <wp:inline distT="0" distB="0" distL="114300" distR="114300">
            <wp:extent cx="5266690" cy="2369820"/>
            <wp:effectExtent l="0" t="0" r="3810" b="508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2"/>
                    <a:stretch>
                      <a:fillRect/>
                    </a:stretch>
                  </pic:blipFill>
                  <pic:spPr>
                    <a:xfrm>
                      <a:off x="0" y="0"/>
                      <a:ext cx="5266690" cy="2369820"/>
                    </a:xfrm>
                    <a:prstGeom prst="rect">
                      <a:avLst/>
                    </a:prstGeom>
                    <a:noFill/>
                    <a:ln>
                      <a:noFill/>
                    </a:ln>
                  </pic:spPr>
                </pic:pic>
              </a:graphicData>
            </a:graphic>
          </wp:inline>
        </w:drawing>
      </w:r>
    </w:p>
    <w:p>
      <w:pPr>
        <w:spacing w:line="360" w:lineRule="auto"/>
        <w:rPr>
          <w:sz w:val="24"/>
        </w:rPr>
      </w:pPr>
      <w:r>
        <w:rPr>
          <w:rFonts w:hint="eastAsia"/>
          <w:sz w:val="24"/>
        </w:rPr>
        <w:t>填写说明：</w:t>
      </w:r>
    </w:p>
    <w:p>
      <w:pPr>
        <w:numPr>
          <w:ilvl w:val="0"/>
          <w:numId w:val="4"/>
        </w:numPr>
        <w:spacing w:line="360" w:lineRule="auto"/>
        <w:rPr>
          <w:sz w:val="24"/>
        </w:rPr>
      </w:pPr>
      <w:r>
        <w:rPr>
          <w:sz w:val="24"/>
        </w:rPr>
        <w:t>上传文件为PDF格式</w:t>
      </w:r>
      <w:r>
        <w:rPr>
          <w:rFonts w:hint="eastAsia"/>
          <w:sz w:val="24"/>
        </w:rPr>
        <w:t>，</w:t>
      </w:r>
      <w:r>
        <w:rPr>
          <w:sz w:val="24"/>
        </w:rPr>
        <w:t>单个文件大小在</w:t>
      </w:r>
      <w:r>
        <w:rPr>
          <w:rFonts w:hint="eastAsia"/>
          <w:sz w:val="24"/>
        </w:rPr>
        <w:t>5</w:t>
      </w:r>
      <w:r>
        <w:rPr>
          <w:sz w:val="24"/>
        </w:rPr>
        <w:t>M之内</w:t>
      </w:r>
      <w:r>
        <w:rPr>
          <w:rFonts w:hint="eastAsia"/>
          <w:sz w:val="24"/>
        </w:rPr>
        <w:t>。</w:t>
      </w:r>
    </w:p>
    <w:p>
      <w:pPr>
        <w:numPr>
          <w:ilvl w:val="0"/>
          <w:numId w:val="4"/>
        </w:numPr>
        <w:spacing w:line="360" w:lineRule="auto"/>
        <w:rPr>
          <w:sz w:val="24"/>
        </w:rPr>
      </w:pPr>
      <w:r>
        <w:rPr>
          <w:rFonts w:hint="eastAsia"/>
          <w:sz w:val="24"/>
        </w:rPr>
        <w:t>鉴别单位类型，单选，</w:t>
      </w:r>
      <w:r>
        <w:rPr>
          <w:sz w:val="24"/>
        </w:rPr>
        <w:t>枚举：企业</w:t>
      </w:r>
      <w:r>
        <w:rPr>
          <w:rFonts w:hint="eastAsia"/>
          <w:sz w:val="24"/>
        </w:rPr>
        <w:t>（第三方），企业（自行鉴别）</w:t>
      </w:r>
      <w:r>
        <w:rPr>
          <w:sz w:val="24"/>
        </w:rPr>
        <w:t>，政府/事业单位，科研机构</w:t>
      </w:r>
    </w:p>
    <w:p>
      <w:pPr>
        <w:numPr>
          <w:ilvl w:val="0"/>
          <w:numId w:val="4"/>
        </w:numPr>
        <w:spacing w:line="360" w:lineRule="auto"/>
        <w:rPr>
          <w:sz w:val="24"/>
        </w:rPr>
      </w:pPr>
      <w:r>
        <w:rPr>
          <w:rFonts w:hint="eastAsia"/>
          <w:sz w:val="24"/>
        </w:rPr>
        <w:t>可鉴别的危险特性</w:t>
      </w:r>
      <w:r>
        <w:rPr>
          <w:sz w:val="24"/>
        </w:rPr>
        <w:t>两级点选</w:t>
      </w:r>
      <w:r>
        <w:rPr>
          <w:rFonts w:hint="eastAsia"/>
          <w:sz w:val="24"/>
        </w:rPr>
        <w:t>：</w:t>
      </w:r>
      <w:r>
        <w:rPr>
          <w:sz w:val="24"/>
        </w:rPr>
        <w:t>一级包括</w:t>
      </w:r>
      <w:r>
        <w:rPr>
          <w:rFonts w:hint="eastAsia"/>
          <w:sz w:val="24"/>
        </w:rPr>
        <w:t>：</w:t>
      </w:r>
      <w:r>
        <w:rPr>
          <w:sz w:val="24"/>
        </w:rPr>
        <w:t>反应性</w:t>
      </w:r>
      <w:r>
        <w:rPr>
          <w:rFonts w:hint="eastAsia"/>
          <w:sz w:val="24"/>
        </w:rPr>
        <w:t>、</w:t>
      </w:r>
      <w:r>
        <w:rPr>
          <w:sz w:val="24"/>
        </w:rPr>
        <w:t>易燃性</w:t>
      </w:r>
      <w:r>
        <w:rPr>
          <w:rFonts w:hint="eastAsia"/>
          <w:sz w:val="24"/>
        </w:rPr>
        <w:t>、</w:t>
      </w:r>
      <w:r>
        <w:rPr>
          <w:sz w:val="24"/>
        </w:rPr>
        <w:t>腐蚀性</w:t>
      </w:r>
      <w:r>
        <w:rPr>
          <w:rFonts w:hint="eastAsia"/>
          <w:sz w:val="24"/>
        </w:rPr>
        <w:t>、</w:t>
      </w:r>
      <w:r>
        <w:rPr>
          <w:sz w:val="24"/>
        </w:rPr>
        <w:t>浸出毒性</w:t>
      </w:r>
      <w:r>
        <w:rPr>
          <w:rFonts w:hint="eastAsia"/>
          <w:sz w:val="24"/>
        </w:rPr>
        <w:t>、</w:t>
      </w:r>
      <w:r>
        <w:rPr>
          <w:sz w:val="24"/>
        </w:rPr>
        <w:t>毒性物质含量</w:t>
      </w:r>
      <w:r>
        <w:rPr>
          <w:rFonts w:hint="eastAsia"/>
          <w:sz w:val="24"/>
        </w:rPr>
        <w:t>、</w:t>
      </w:r>
      <w:r>
        <w:rPr>
          <w:sz w:val="24"/>
        </w:rPr>
        <w:t>急性毒性</w:t>
      </w:r>
      <w:r>
        <w:rPr>
          <w:rFonts w:hint="eastAsia"/>
          <w:sz w:val="24"/>
        </w:rPr>
        <w:t>；</w:t>
      </w:r>
      <w:r>
        <w:rPr>
          <w:sz w:val="24"/>
        </w:rPr>
        <w:t>二级包括</w:t>
      </w:r>
      <w:r>
        <w:rPr>
          <w:rFonts w:hint="eastAsia"/>
          <w:sz w:val="24"/>
        </w:rPr>
        <w:t>：</w:t>
      </w:r>
      <w:r>
        <w:rPr>
          <w:sz w:val="24"/>
        </w:rPr>
        <w:t>可检测的具体指标</w:t>
      </w:r>
      <w:r>
        <w:rPr>
          <w:rFonts w:hint="eastAsia"/>
          <w:sz w:val="24"/>
        </w:rPr>
        <w:t>，可鉴别的危险特性（多选）</w:t>
      </w:r>
    </w:p>
    <w:p>
      <w:pPr>
        <w:numPr>
          <w:ilvl w:val="0"/>
          <w:numId w:val="4"/>
        </w:numPr>
        <w:spacing w:line="360" w:lineRule="auto"/>
        <w:rPr>
          <w:sz w:val="24"/>
        </w:rPr>
      </w:pPr>
      <w:r>
        <w:rPr>
          <w:sz w:val="24"/>
        </w:rPr>
        <w:t>鉴别人员情况</w:t>
      </w:r>
      <w:r>
        <w:rPr>
          <w:rFonts w:hint="eastAsia"/>
          <w:sz w:val="24"/>
        </w:rPr>
        <w:t>：逐条输入人员信息，每条信息包括：姓名、身份证号、联系方式、职称、专业领域；输入所有人员信息后自动汇总显示：有高级工程师</w:t>
      </w:r>
      <w:r>
        <w:rPr>
          <w:sz w:val="24"/>
        </w:rPr>
        <w:t>几人</w:t>
      </w:r>
      <w:r>
        <w:rPr>
          <w:rFonts w:hint="eastAsia"/>
          <w:sz w:val="24"/>
        </w:rPr>
        <w:t>、</w:t>
      </w:r>
      <w:r>
        <w:rPr>
          <w:sz w:val="24"/>
        </w:rPr>
        <w:t>工程师几人</w:t>
      </w:r>
      <w:r>
        <w:rPr>
          <w:rFonts w:hint="eastAsia"/>
          <w:sz w:val="24"/>
        </w:rPr>
        <w:t>，</w:t>
      </w:r>
      <w:r>
        <w:rPr>
          <w:sz w:val="24"/>
        </w:rPr>
        <w:t>至少填写一个</w:t>
      </w:r>
      <w:r>
        <w:rPr>
          <w:rFonts w:hint="eastAsia"/>
          <w:sz w:val="24"/>
        </w:rPr>
        <w:t>；</w:t>
      </w:r>
    </w:p>
    <w:p>
      <w:pPr>
        <w:numPr>
          <w:ilvl w:val="0"/>
          <w:numId w:val="4"/>
        </w:numPr>
        <w:spacing w:line="360" w:lineRule="auto"/>
        <w:rPr>
          <w:sz w:val="24"/>
        </w:rPr>
      </w:pPr>
      <w:r>
        <w:rPr>
          <w:sz w:val="24"/>
        </w:rPr>
        <w:t>鉴别业绩</w:t>
      </w:r>
      <w:r>
        <w:rPr>
          <w:rFonts w:hint="eastAsia"/>
          <w:sz w:val="24"/>
        </w:rPr>
        <w:t>：</w:t>
      </w:r>
      <w:r>
        <w:rPr>
          <w:sz w:val="24"/>
        </w:rPr>
        <w:t>逐条输入鉴别业绩</w:t>
      </w:r>
      <w:r>
        <w:rPr>
          <w:rFonts w:hint="eastAsia"/>
          <w:sz w:val="24"/>
        </w:rPr>
        <w:t>，</w:t>
      </w:r>
      <w:r>
        <w:rPr>
          <w:sz w:val="24"/>
        </w:rPr>
        <w:t>每条信息包括</w:t>
      </w:r>
      <w:r>
        <w:rPr>
          <w:rFonts w:hint="eastAsia"/>
          <w:sz w:val="24"/>
        </w:rPr>
        <w:t>：</w:t>
      </w:r>
      <w:r>
        <w:rPr>
          <w:sz w:val="24"/>
        </w:rPr>
        <w:t>开展鉴别时间</w:t>
      </w:r>
      <w:r>
        <w:rPr>
          <w:rFonts w:hint="eastAsia"/>
          <w:sz w:val="24"/>
        </w:rPr>
        <w:t>（选择）、</w:t>
      </w:r>
      <w:r>
        <w:rPr>
          <w:sz w:val="24"/>
        </w:rPr>
        <w:t>委托方</w:t>
      </w:r>
      <w:r>
        <w:rPr>
          <w:rFonts w:hint="eastAsia"/>
          <w:sz w:val="24"/>
        </w:rPr>
        <w:t>、</w:t>
      </w:r>
      <w:r>
        <w:rPr>
          <w:sz w:val="24"/>
        </w:rPr>
        <w:t>固体废物名称</w:t>
      </w:r>
      <w:r>
        <w:rPr>
          <w:rFonts w:hint="eastAsia"/>
          <w:sz w:val="24"/>
        </w:rPr>
        <w:t>、</w:t>
      </w:r>
      <w:r>
        <w:rPr>
          <w:sz w:val="24"/>
        </w:rPr>
        <w:t>鉴别结论</w:t>
      </w:r>
    </w:p>
    <w:p>
      <w:pPr>
        <w:numPr>
          <w:ilvl w:val="0"/>
          <w:numId w:val="4"/>
        </w:numPr>
        <w:spacing w:line="360" w:lineRule="auto"/>
        <w:rPr>
          <w:sz w:val="24"/>
        </w:rPr>
      </w:pPr>
      <w:r>
        <w:rPr>
          <w:sz w:val="24"/>
        </w:rPr>
        <w:t>注册时</w:t>
      </w:r>
      <w:r>
        <w:rPr>
          <w:rFonts w:hint="eastAsia"/>
          <w:sz w:val="24"/>
        </w:rPr>
        <w:t>登录</w:t>
      </w:r>
      <w:r>
        <w:rPr>
          <w:sz w:val="24"/>
        </w:rPr>
        <w:t>账号填写手机号码并进行短信验证</w:t>
      </w:r>
      <w:r>
        <w:rPr>
          <w:rFonts w:hint="eastAsia"/>
          <w:sz w:val="24"/>
        </w:rPr>
        <w:t>，用手机号码作为登录账号进</w:t>
      </w:r>
    </w:p>
    <w:p>
      <w:pPr>
        <w:spacing w:line="360" w:lineRule="auto"/>
        <w:ind w:firstLine="480" w:firstLineChars="200"/>
        <w:rPr>
          <w:sz w:val="24"/>
        </w:rPr>
      </w:pPr>
      <w:r>
        <w:rPr>
          <w:rFonts w:hint="eastAsia"/>
          <w:sz w:val="24"/>
        </w:rPr>
        <w:t>行登录系统</w:t>
      </w:r>
    </w:p>
    <w:p>
      <w:pPr>
        <w:spacing w:line="360" w:lineRule="auto"/>
        <w:ind w:firstLine="480" w:firstLineChars="200"/>
        <w:rPr>
          <w:sz w:val="24"/>
        </w:rPr>
      </w:pPr>
    </w:p>
    <w:p>
      <w:pPr>
        <w:spacing w:line="360" w:lineRule="auto"/>
        <w:ind w:firstLine="480" w:firstLineChars="200"/>
        <w:rPr>
          <w:sz w:val="24"/>
        </w:rPr>
      </w:pPr>
    </w:p>
    <w:p>
      <w:pPr>
        <w:numPr>
          <w:ilvl w:val="1"/>
          <w:numId w:val="2"/>
        </w:numPr>
        <w:spacing w:line="360" w:lineRule="auto"/>
        <w:ind w:left="777" w:hanging="357"/>
        <w:rPr>
          <w:sz w:val="24"/>
        </w:rPr>
      </w:pPr>
      <w:r>
        <w:rPr>
          <w:rFonts w:hint="eastAsia"/>
          <w:sz w:val="24"/>
        </w:rPr>
        <w:t>注册成功后</w:t>
      </w:r>
      <w:r>
        <w:rPr>
          <w:rFonts w:hint="eastAsia" w:ascii="Calibri" w:hAnsi="Calibri" w:eastAsia="宋体" w:cs="Times New Roman"/>
          <w:sz w:val="24"/>
        </w:rPr>
        <w:t>登录时</w:t>
      </w:r>
      <w:r>
        <w:rPr>
          <w:rFonts w:hint="eastAsia" w:ascii="Calibri" w:hAnsi="Calibri" w:eastAsia="宋体" w:cs="Times New Roman"/>
          <w:sz w:val="24"/>
          <w:lang w:val="en-US" w:eastAsia="zh-CN"/>
        </w:rPr>
        <w:t>点击</w:t>
      </w:r>
      <w:r>
        <w:rPr>
          <w:rFonts w:hint="eastAsia" w:ascii="Calibri" w:hAnsi="Calibri" w:eastAsia="宋体" w:cs="Times New Roman"/>
          <w:sz w:val="24"/>
        </w:rPr>
        <w:t>【</w:t>
      </w:r>
      <w:r>
        <w:rPr>
          <w:rFonts w:hint="eastAsia" w:ascii="Calibri" w:hAnsi="Calibri" w:eastAsia="宋体" w:cs="Times New Roman"/>
          <w:sz w:val="24"/>
          <w:lang w:val="en-US" w:eastAsia="zh-CN"/>
        </w:rPr>
        <w:t>去登陆</w:t>
      </w:r>
      <w:r>
        <w:rPr>
          <w:rFonts w:hint="eastAsia" w:ascii="Calibri" w:hAnsi="Calibri" w:eastAsia="宋体" w:cs="Times New Roman"/>
          <w:sz w:val="24"/>
        </w:rPr>
        <w:t>】，输入账号密码登陆</w:t>
      </w:r>
      <w:r>
        <w:rPr>
          <w:rFonts w:hint="eastAsia" w:ascii="Calibri" w:hAnsi="Calibri" w:eastAsia="宋体" w:cs="Times New Roman"/>
          <w:sz w:val="24"/>
          <w:lang w:val="en-US" w:eastAsia="zh-CN"/>
        </w:rPr>
        <w:t>即可</w:t>
      </w:r>
    </w:p>
    <w:p>
      <w:pPr>
        <w:spacing w:line="360" w:lineRule="auto"/>
        <w:rPr>
          <w:sz w:val="24"/>
        </w:rPr>
      </w:pPr>
      <w:r>
        <w:drawing>
          <wp:inline distT="0" distB="0" distL="114300" distR="114300">
            <wp:extent cx="5266690" cy="2367280"/>
            <wp:effectExtent l="0" t="0" r="3810" b="762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3"/>
                    <a:stretch>
                      <a:fillRect/>
                    </a:stretch>
                  </pic:blipFill>
                  <pic:spPr>
                    <a:xfrm>
                      <a:off x="0" y="0"/>
                      <a:ext cx="5266690" cy="2367280"/>
                    </a:xfrm>
                    <a:prstGeom prst="rect">
                      <a:avLst/>
                    </a:prstGeom>
                    <a:noFill/>
                    <a:ln>
                      <a:noFill/>
                    </a:ln>
                  </pic:spPr>
                </pic:pic>
              </a:graphicData>
            </a:graphic>
          </wp:inline>
        </w:drawing>
      </w:r>
    </w:p>
    <w:p>
      <w:pPr>
        <w:spacing w:line="360" w:lineRule="auto"/>
        <w:rPr>
          <w:sz w:val="24"/>
        </w:rPr>
      </w:pPr>
    </w:p>
    <w:p>
      <w:pPr>
        <w:spacing w:line="360" w:lineRule="auto"/>
        <w:rPr>
          <w:sz w:val="24"/>
        </w:rPr>
      </w:pPr>
    </w:p>
    <w:p>
      <w:pPr>
        <w:spacing w:line="360" w:lineRule="auto"/>
        <w:rPr>
          <w:sz w:val="24"/>
        </w:rPr>
      </w:pPr>
    </w:p>
    <w:p>
      <w:pPr>
        <w:spacing w:line="360" w:lineRule="auto"/>
        <w:rPr>
          <w:rFonts w:hint="eastAsia"/>
          <w:sz w:val="24"/>
        </w:rPr>
      </w:pPr>
    </w:p>
    <w:p>
      <w:pPr>
        <w:pStyle w:val="2"/>
        <w:rPr>
          <w:rFonts w:ascii="黑体" w:hAnsi="黑体" w:eastAsia="黑体" w:cs="黑体"/>
          <w:b w:val="0"/>
          <w:bCs/>
        </w:rPr>
      </w:pPr>
      <w:bookmarkStart w:id="4" w:name="_Toc20974"/>
      <w:r>
        <w:rPr>
          <w:rFonts w:hint="eastAsia" w:ascii="黑体" w:hAnsi="黑体" w:eastAsia="黑体" w:cs="黑体"/>
          <w:b w:val="0"/>
          <w:bCs/>
          <w:sz w:val="36"/>
          <w:szCs w:val="36"/>
        </w:rPr>
        <w:t>3.</w:t>
      </w:r>
      <w:r>
        <w:rPr>
          <w:rFonts w:hint="eastAsia" w:ascii="黑体" w:hAnsi="黑体" w:eastAsia="黑体" w:cs="Times New Roman"/>
          <w:bCs/>
          <w:sz w:val="36"/>
          <w:szCs w:val="36"/>
        </w:rPr>
        <w:t>委托鉴别单位</w:t>
      </w:r>
      <w:bookmarkEnd w:id="4"/>
    </w:p>
    <w:p>
      <w:pPr>
        <w:pStyle w:val="3"/>
        <w:rPr>
          <w:sz w:val="24"/>
        </w:rPr>
      </w:pPr>
      <w:bookmarkStart w:id="5" w:name="_Toc25629"/>
      <w:r>
        <w:rPr>
          <w:rFonts w:hint="eastAsia" w:ascii="黑体" w:hAnsi="黑体" w:cs="黑体"/>
          <w:b w:val="0"/>
          <w:bCs/>
          <w:sz w:val="30"/>
          <w:szCs w:val="30"/>
        </w:rPr>
        <w:t>3.1</w:t>
      </w:r>
      <w:r>
        <w:rPr>
          <w:rFonts w:hint="eastAsia" w:ascii="黑体" w:hAnsi="黑体" w:cs="黑体"/>
          <w:b w:val="0"/>
          <w:bCs/>
          <w:sz w:val="30"/>
          <w:szCs w:val="30"/>
          <w:lang w:val="en-US" w:eastAsia="zh-CN"/>
        </w:rPr>
        <w:t>危险废物</w:t>
      </w:r>
      <w:r>
        <w:rPr>
          <w:rFonts w:hint="eastAsia" w:ascii="黑体" w:hAnsi="黑体" w:cs="黑体"/>
          <w:b w:val="0"/>
          <w:bCs/>
          <w:sz w:val="30"/>
          <w:szCs w:val="30"/>
        </w:rPr>
        <w:t>鉴别报告管理</w:t>
      </w:r>
      <w:bookmarkEnd w:id="5"/>
    </w:p>
    <w:p>
      <w:pPr>
        <w:rPr>
          <w:rFonts w:hint="eastAsia" w:eastAsiaTheme="minorEastAsia"/>
          <w:b/>
          <w:bCs w:val="0"/>
          <w:lang w:val="en-US" w:eastAsia="zh-CN"/>
        </w:rPr>
      </w:pPr>
    </w:p>
    <w:p>
      <w:pPr>
        <w:numPr>
          <w:ilvl w:val="0"/>
          <w:numId w:val="5"/>
        </w:numPr>
        <w:spacing w:line="360" w:lineRule="auto"/>
        <w:ind w:firstLine="480" w:firstLineChars="200"/>
        <w:rPr>
          <w:sz w:val="24"/>
        </w:rPr>
      </w:pPr>
      <w:r>
        <w:rPr>
          <w:rFonts w:hint="eastAsia"/>
          <w:sz w:val="24"/>
        </w:rPr>
        <w:t>鉴别报告管理功能</w:t>
      </w:r>
      <w:r>
        <w:rPr>
          <w:rFonts w:hint="eastAsia"/>
          <w:sz w:val="24"/>
          <w:lang w:val="en-US" w:eastAsia="zh-CN"/>
        </w:rPr>
        <w:t>页面</w:t>
      </w:r>
      <w:r>
        <w:rPr>
          <w:rFonts w:hint="eastAsia"/>
          <w:sz w:val="24"/>
        </w:rPr>
        <w:t>，</w:t>
      </w:r>
      <w:r>
        <w:rPr>
          <w:sz w:val="24"/>
        </w:rPr>
        <w:t>产生固体废物的单位</w:t>
      </w:r>
      <w:r>
        <w:rPr>
          <w:rFonts w:hint="eastAsia"/>
          <w:sz w:val="24"/>
        </w:rPr>
        <w:t>可以</w:t>
      </w:r>
      <w:r>
        <w:rPr>
          <w:rFonts w:hint="eastAsia"/>
          <w:sz w:val="24"/>
          <w:lang w:val="en-US" w:eastAsia="zh-CN"/>
        </w:rPr>
        <w:t>在此页面</w:t>
      </w:r>
      <w:r>
        <w:rPr>
          <w:rFonts w:hint="eastAsia"/>
          <w:sz w:val="24"/>
        </w:rPr>
        <w:t>根据查询条件</w:t>
      </w:r>
      <w:r>
        <w:rPr>
          <w:rFonts w:hint="eastAsia"/>
          <w:sz w:val="24"/>
          <w:lang w:val="en-US" w:eastAsia="zh-CN"/>
        </w:rPr>
        <w:t>点击【</w:t>
      </w:r>
      <w:r>
        <w:rPr>
          <w:rFonts w:hint="eastAsia"/>
          <w:sz w:val="24"/>
        </w:rPr>
        <w:t>查询</w:t>
      </w:r>
      <w:r>
        <w:rPr>
          <w:rFonts w:hint="eastAsia"/>
          <w:sz w:val="24"/>
          <w:lang w:eastAsia="zh-CN"/>
        </w:rPr>
        <w:t>】</w:t>
      </w:r>
      <w:r>
        <w:rPr>
          <w:rFonts w:hint="eastAsia"/>
          <w:sz w:val="24"/>
          <w:lang w:val="en-US" w:eastAsia="zh-CN"/>
        </w:rPr>
        <w:t>查看</w:t>
      </w:r>
      <w:r>
        <w:rPr>
          <w:rFonts w:hint="eastAsia"/>
          <w:sz w:val="24"/>
        </w:rPr>
        <w:t>自己录入的鉴别信息</w:t>
      </w:r>
      <w:r>
        <w:rPr>
          <w:rFonts w:hint="eastAsia"/>
          <w:sz w:val="24"/>
          <w:lang w:eastAsia="zh-CN"/>
        </w:rPr>
        <w:t>。</w:t>
      </w:r>
    </w:p>
    <w:p>
      <w:pPr>
        <w:spacing w:line="360" w:lineRule="auto"/>
      </w:pPr>
      <w:r>
        <w:drawing>
          <wp:inline distT="0" distB="0" distL="114300" distR="114300">
            <wp:extent cx="5266690" cy="2367280"/>
            <wp:effectExtent l="0" t="0" r="381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4"/>
                    <a:stretch>
                      <a:fillRect/>
                    </a:stretch>
                  </pic:blipFill>
                  <pic:spPr>
                    <a:xfrm>
                      <a:off x="0" y="0"/>
                      <a:ext cx="5266690" cy="2367280"/>
                    </a:xfrm>
                    <a:prstGeom prst="rect">
                      <a:avLst/>
                    </a:prstGeom>
                    <a:noFill/>
                    <a:ln>
                      <a:noFill/>
                    </a:ln>
                  </pic:spPr>
                </pic:pic>
              </a:graphicData>
            </a:graphic>
          </wp:inline>
        </w:drawing>
      </w:r>
    </w:p>
    <w:p>
      <w:pPr>
        <w:numPr>
          <w:ilvl w:val="0"/>
          <w:numId w:val="5"/>
        </w:numPr>
        <w:spacing w:line="360" w:lineRule="auto"/>
        <w:rPr>
          <w:sz w:val="24"/>
        </w:rPr>
      </w:pPr>
      <w:r>
        <w:rPr>
          <w:sz w:val="24"/>
        </w:rPr>
        <w:t>产生固体废物的单位</w:t>
      </w:r>
      <w:r>
        <w:rPr>
          <w:rFonts w:hint="eastAsia"/>
          <w:sz w:val="24"/>
        </w:rPr>
        <w:t>需要添加鉴别的废物时，可以点击【拟鉴别录入】，添加新增的鉴别信息，录入需要鉴别的信息，填写完成，点击【提交】后系统生成拟鉴别记录。</w:t>
      </w:r>
    </w:p>
    <w:p>
      <w:pPr>
        <w:spacing w:line="360" w:lineRule="auto"/>
        <w:ind w:firstLine="480" w:firstLineChars="200"/>
        <w:rPr>
          <w:sz w:val="24"/>
        </w:rPr>
      </w:pPr>
      <w:r>
        <w:rPr>
          <w:sz w:val="24"/>
        </w:rPr>
        <w:t>产生固体废物的单位录入拟开展的鉴别</w:t>
      </w:r>
      <w:r>
        <w:rPr>
          <w:rFonts w:hint="eastAsia"/>
          <w:sz w:val="24"/>
        </w:rPr>
        <w:t>，</w:t>
      </w:r>
      <w:r>
        <w:rPr>
          <w:sz w:val="24"/>
        </w:rPr>
        <w:t>鉴别完成后录入鉴别报告并公开</w:t>
      </w:r>
      <w:r>
        <w:rPr>
          <w:rFonts w:hint="eastAsia"/>
          <w:sz w:val="24"/>
        </w:rPr>
        <w:t>，</w:t>
      </w:r>
      <w:r>
        <w:rPr>
          <w:sz w:val="24"/>
        </w:rPr>
        <w:t>如有</w:t>
      </w:r>
      <w:r>
        <w:rPr>
          <w:rFonts w:hint="eastAsia"/>
          <w:sz w:val="24"/>
        </w:rPr>
        <w:t>需要</w:t>
      </w:r>
      <w:r>
        <w:rPr>
          <w:sz w:val="24"/>
        </w:rPr>
        <w:t>评估的鉴别报告</w:t>
      </w:r>
      <w:r>
        <w:rPr>
          <w:rFonts w:hint="eastAsia"/>
          <w:sz w:val="24"/>
        </w:rPr>
        <w:t>，</w:t>
      </w:r>
      <w:r>
        <w:rPr>
          <w:sz w:val="24"/>
        </w:rPr>
        <w:t>评估完成后录入评估意见及相关报告</w:t>
      </w:r>
      <w:r>
        <w:rPr>
          <w:rFonts w:hint="eastAsia"/>
          <w:sz w:val="24"/>
        </w:rPr>
        <w:t>，更新</w:t>
      </w:r>
      <w:r>
        <w:rPr>
          <w:sz w:val="24"/>
        </w:rPr>
        <w:t>公开信息</w:t>
      </w:r>
      <w:r>
        <w:rPr>
          <w:rFonts w:hint="eastAsia"/>
          <w:sz w:val="24"/>
        </w:rPr>
        <w:t>，</w:t>
      </w:r>
      <w:r>
        <w:rPr>
          <w:sz w:val="24"/>
        </w:rPr>
        <w:t>可以进行</w:t>
      </w:r>
      <w:r>
        <w:rPr>
          <w:rFonts w:hint="eastAsia"/>
          <w:sz w:val="24"/>
        </w:rPr>
        <w:t>2级异议评估，先省级后国家级；</w:t>
      </w:r>
    </w:p>
    <w:p>
      <w:pPr>
        <w:numPr>
          <w:ilvl w:val="0"/>
          <w:numId w:val="0"/>
        </w:numPr>
        <w:spacing w:line="360" w:lineRule="auto"/>
        <w:rPr>
          <w:sz w:val="24"/>
        </w:rPr>
      </w:pPr>
    </w:p>
    <w:p>
      <w:pPr>
        <w:spacing w:line="360" w:lineRule="auto"/>
      </w:pPr>
      <w:r>
        <w:drawing>
          <wp:inline distT="0" distB="0" distL="114300" distR="114300">
            <wp:extent cx="5266690" cy="2367280"/>
            <wp:effectExtent l="0" t="0" r="381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5"/>
                    <a:stretch>
                      <a:fillRect/>
                    </a:stretch>
                  </pic:blipFill>
                  <pic:spPr>
                    <a:xfrm>
                      <a:off x="0" y="0"/>
                      <a:ext cx="5266690" cy="2367280"/>
                    </a:xfrm>
                    <a:prstGeom prst="rect">
                      <a:avLst/>
                    </a:prstGeom>
                    <a:noFill/>
                    <a:ln>
                      <a:noFill/>
                    </a:ln>
                  </pic:spPr>
                </pic:pic>
              </a:graphicData>
            </a:graphic>
          </wp:inline>
        </w:drawing>
      </w:r>
    </w:p>
    <w:p>
      <w:pPr>
        <w:spacing w:line="360" w:lineRule="auto"/>
      </w:pPr>
    </w:p>
    <w:p>
      <w:pPr>
        <w:spacing w:line="360" w:lineRule="auto"/>
        <w:ind w:firstLine="480" w:firstLineChars="200"/>
        <w:rPr>
          <w:sz w:val="24"/>
        </w:rPr>
      </w:pPr>
      <w:r>
        <w:rPr>
          <w:sz w:val="24"/>
        </w:rPr>
        <w:t>省市县三级环保部门可作为委托鉴别单位录入鉴别案例</w:t>
      </w:r>
    </w:p>
    <w:p>
      <w:pPr>
        <w:spacing w:line="360" w:lineRule="auto"/>
        <w:ind w:firstLine="440" w:firstLineChars="200"/>
        <w:rPr>
          <w:rFonts w:hint="default" w:eastAsiaTheme="minorEastAsia"/>
          <w:sz w:val="24"/>
          <w:lang w:val="en-US" w:eastAsia="zh-CN"/>
        </w:rPr>
      </w:pPr>
      <w:r>
        <w:rPr>
          <w:rFonts w:hint="eastAsia"/>
          <w:sz w:val="22"/>
          <w:szCs w:val="22"/>
          <w:lang w:val="en-US" w:eastAsia="zh-CN"/>
        </w:rPr>
        <w:t>注：点击放大镜选择对应的鉴别单位</w:t>
      </w:r>
    </w:p>
    <w:p>
      <w:pPr>
        <w:spacing w:line="360" w:lineRule="auto"/>
      </w:pPr>
      <w:r>
        <w:drawing>
          <wp:inline distT="0" distB="0" distL="114300" distR="114300">
            <wp:extent cx="5266690" cy="2364740"/>
            <wp:effectExtent l="0" t="0" r="3810"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6"/>
                    <a:stretch>
                      <a:fillRect/>
                    </a:stretch>
                  </pic:blipFill>
                  <pic:spPr>
                    <a:xfrm>
                      <a:off x="0" y="0"/>
                      <a:ext cx="5266690" cy="2364740"/>
                    </a:xfrm>
                    <a:prstGeom prst="rect">
                      <a:avLst/>
                    </a:prstGeom>
                    <a:noFill/>
                    <a:ln>
                      <a:noFill/>
                    </a:ln>
                  </pic:spPr>
                </pic:pic>
              </a:graphicData>
            </a:graphic>
          </wp:inline>
        </w:drawing>
      </w:r>
    </w:p>
    <w:p>
      <w:pPr>
        <w:spacing w:line="360" w:lineRule="auto"/>
      </w:pPr>
      <w:r>
        <w:drawing>
          <wp:inline distT="0" distB="0" distL="114300" distR="114300">
            <wp:extent cx="5266690" cy="2367280"/>
            <wp:effectExtent l="0" t="0" r="381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7"/>
                    <a:stretch>
                      <a:fillRect/>
                    </a:stretch>
                  </pic:blipFill>
                  <pic:spPr>
                    <a:xfrm>
                      <a:off x="0" y="0"/>
                      <a:ext cx="5266690" cy="2367280"/>
                    </a:xfrm>
                    <a:prstGeom prst="rect">
                      <a:avLst/>
                    </a:prstGeom>
                    <a:noFill/>
                    <a:ln>
                      <a:noFill/>
                    </a:ln>
                  </pic:spPr>
                </pic:pic>
              </a:graphicData>
            </a:graphic>
          </wp:inline>
        </w:drawing>
      </w:r>
    </w:p>
    <w:p>
      <w:pPr>
        <w:spacing w:line="360" w:lineRule="auto"/>
      </w:pPr>
    </w:p>
    <w:p>
      <w:pPr>
        <w:spacing w:line="360" w:lineRule="auto"/>
      </w:pPr>
    </w:p>
    <w:p>
      <w:pPr>
        <w:spacing w:line="360" w:lineRule="auto"/>
        <w:rPr>
          <w:sz w:val="24"/>
        </w:rPr>
      </w:pPr>
      <w:r>
        <w:rPr>
          <w:rFonts w:hint="eastAsia"/>
          <w:sz w:val="24"/>
        </w:rPr>
        <w:t>注：填报说明</w:t>
      </w:r>
    </w:p>
    <w:p>
      <w:pPr>
        <w:numPr>
          <w:ilvl w:val="0"/>
          <w:numId w:val="6"/>
        </w:numPr>
        <w:spacing w:line="360" w:lineRule="auto"/>
        <w:rPr>
          <w:sz w:val="24"/>
        </w:rPr>
      </w:pPr>
      <w:r>
        <w:rPr>
          <w:rFonts w:hint="eastAsia"/>
          <w:sz w:val="24"/>
        </w:rPr>
        <w:t>废物产生量（吨</w:t>
      </w:r>
      <w:r>
        <w:rPr>
          <w:sz w:val="24"/>
        </w:rPr>
        <w:t>/</w:t>
      </w:r>
      <w:r>
        <w:rPr>
          <w:rFonts w:hint="eastAsia"/>
          <w:sz w:val="24"/>
        </w:rPr>
        <w:t>月）：填写内容为生产设施自试生产以来的实际最大生产负荷时的固体废物产生量</w:t>
      </w:r>
    </w:p>
    <w:p>
      <w:pPr>
        <w:numPr>
          <w:ilvl w:val="0"/>
          <w:numId w:val="6"/>
        </w:numPr>
        <w:spacing w:line="360" w:lineRule="auto"/>
        <w:rPr>
          <w:sz w:val="24"/>
        </w:rPr>
      </w:pPr>
      <w:r>
        <w:rPr>
          <w:rFonts w:hint="eastAsia"/>
          <w:sz w:val="24"/>
        </w:rPr>
        <w:t>废物物理特性：点选，枚举:固态、液态、半固态、气态</w:t>
      </w:r>
    </w:p>
    <w:p>
      <w:pPr>
        <w:numPr>
          <w:ilvl w:val="0"/>
          <w:numId w:val="6"/>
        </w:numPr>
        <w:spacing w:line="360" w:lineRule="auto"/>
        <w:rPr>
          <w:sz w:val="24"/>
        </w:rPr>
      </w:pPr>
      <w:r>
        <w:rPr>
          <w:rFonts w:hint="eastAsia"/>
          <w:sz w:val="24"/>
        </w:rPr>
        <w:t>案例类别，枚举：常规鉴别、环境事件、历史遗留；</w:t>
      </w:r>
    </w:p>
    <w:p>
      <w:pPr>
        <w:numPr>
          <w:ilvl w:val="0"/>
          <w:numId w:val="6"/>
        </w:numPr>
        <w:spacing w:line="360" w:lineRule="auto"/>
        <w:rPr>
          <w:sz w:val="24"/>
        </w:rPr>
      </w:pPr>
      <w:r>
        <w:rPr>
          <w:rFonts w:hint="eastAsia"/>
          <w:sz w:val="24"/>
        </w:rPr>
        <w:t>鉴别结果：危险废物、一般工业固体废物、其他，结果为危险废物的填写危险废物代码（鉴别单位可以自行编码），一般工业固体废物不用填写，选择其他填写具体废物类型；</w:t>
      </w:r>
    </w:p>
    <w:p>
      <w:pPr>
        <w:spacing w:line="360" w:lineRule="auto"/>
        <w:rPr>
          <w:sz w:val="24"/>
        </w:rPr>
      </w:pPr>
    </w:p>
    <w:p>
      <w:pPr>
        <w:numPr>
          <w:ilvl w:val="0"/>
          <w:numId w:val="5"/>
        </w:numPr>
        <w:spacing w:line="360" w:lineRule="auto"/>
        <w:rPr>
          <w:sz w:val="24"/>
        </w:rPr>
      </w:pPr>
      <w:r>
        <w:rPr>
          <w:sz w:val="24"/>
        </w:rPr>
        <w:t>等待鉴别单位完成鉴别后</w:t>
      </w:r>
      <w:r>
        <w:rPr>
          <w:rFonts w:hint="eastAsia"/>
          <w:sz w:val="24"/>
        </w:rPr>
        <w:t>，</w:t>
      </w:r>
      <w:r>
        <w:rPr>
          <w:sz w:val="24"/>
        </w:rPr>
        <w:t>产生固体废物的单位再</w:t>
      </w:r>
      <w:r>
        <w:rPr>
          <w:rFonts w:hint="eastAsia"/>
          <w:sz w:val="24"/>
        </w:rPr>
        <w:t>点击【添加</w:t>
      </w:r>
      <w:r>
        <w:rPr>
          <w:sz w:val="24"/>
        </w:rPr>
        <w:t>鉴别报告</w:t>
      </w:r>
      <w:r>
        <w:rPr>
          <w:rFonts w:hint="eastAsia"/>
          <w:sz w:val="24"/>
        </w:rPr>
        <w:t>】将鉴别报告信息录入系统中，填写完成后提交案例，提交时提示“提交后不可修改，请确认是否提交”，点“确定”完成提交，点“取消”继续修改</w:t>
      </w:r>
    </w:p>
    <w:p>
      <w:pPr>
        <w:spacing w:line="360" w:lineRule="auto"/>
        <w:rPr>
          <w:sz w:val="24"/>
        </w:rPr>
      </w:pPr>
      <w:r>
        <w:rPr>
          <w:rFonts w:hint="eastAsia"/>
          <w:color w:val="FF0000"/>
          <w:sz w:val="24"/>
        </w:rPr>
        <w:t>注：</w:t>
      </w:r>
      <w:r>
        <w:rPr>
          <w:rFonts w:hint="eastAsia"/>
          <w:color w:val="FF0000"/>
          <w:sz w:val="22"/>
          <w:szCs w:val="22"/>
        </w:rPr>
        <w:t>公开鉴别方案、公开鉴别报告需要对外公开</w:t>
      </w:r>
    </w:p>
    <w:p>
      <w:pPr>
        <w:spacing w:line="360" w:lineRule="auto"/>
      </w:pPr>
      <w:r>
        <w:drawing>
          <wp:inline distT="0" distB="0" distL="114300" distR="114300">
            <wp:extent cx="5266690" cy="2367280"/>
            <wp:effectExtent l="0" t="0" r="3810" b="762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8"/>
                    <a:stretch>
                      <a:fillRect/>
                    </a:stretch>
                  </pic:blipFill>
                  <pic:spPr>
                    <a:xfrm>
                      <a:off x="0" y="0"/>
                      <a:ext cx="5266690" cy="2367280"/>
                    </a:xfrm>
                    <a:prstGeom prst="rect">
                      <a:avLst/>
                    </a:prstGeom>
                    <a:noFill/>
                    <a:ln>
                      <a:noFill/>
                    </a:ln>
                  </pic:spPr>
                </pic:pic>
              </a:graphicData>
            </a:graphic>
          </wp:inline>
        </w:drawing>
      </w:r>
    </w:p>
    <w:p>
      <w:pPr>
        <w:spacing w:line="360" w:lineRule="auto"/>
      </w:pPr>
    </w:p>
    <w:p>
      <w:pPr>
        <w:spacing w:line="360" w:lineRule="auto"/>
        <w:rPr>
          <w:rFonts w:hint="default" w:eastAsiaTheme="minorEastAsia"/>
          <w:lang w:val="en-US" w:eastAsia="zh-CN"/>
        </w:rPr>
      </w:pPr>
      <w:r>
        <w:rPr>
          <w:rFonts w:hint="eastAsia"/>
          <w:sz w:val="24"/>
          <w:lang w:val="en-US" w:eastAsia="zh-CN"/>
        </w:rPr>
        <w:t>填写完成后点击【提交】按钮，进行保存提交操作</w:t>
      </w:r>
    </w:p>
    <w:p>
      <w:pPr>
        <w:spacing w:line="360" w:lineRule="auto"/>
      </w:pPr>
      <w:r>
        <w:drawing>
          <wp:inline distT="0" distB="0" distL="114300" distR="114300">
            <wp:extent cx="5266690" cy="2352040"/>
            <wp:effectExtent l="0" t="0" r="3810" b="1016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9"/>
                    <a:srcRect b="7307"/>
                    <a:stretch>
                      <a:fillRect/>
                    </a:stretch>
                  </pic:blipFill>
                  <pic:spPr>
                    <a:xfrm>
                      <a:off x="0" y="0"/>
                      <a:ext cx="5266690" cy="2352040"/>
                    </a:xfrm>
                    <a:prstGeom prst="rect">
                      <a:avLst/>
                    </a:prstGeom>
                    <a:noFill/>
                    <a:ln>
                      <a:noFill/>
                    </a:ln>
                  </pic:spPr>
                </pic:pic>
              </a:graphicData>
            </a:graphic>
          </wp:inline>
        </w:drawing>
      </w:r>
    </w:p>
    <w:p>
      <w:pPr>
        <w:spacing w:line="360" w:lineRule="auto"/>
        <w:ind w:firstLine="480" w:firstLineChars="200"/>
        <w:rPr>
          <w:rFonts w:hint="eastAsia"/>
          <w:sz w:val="24"/>
        </w:rPr>
      </w:pPr>
      <w:r>
        <w:rPr>
          <w:sz w:val="24"/>
        </w:rPr>
        <w:t>危废鉴别平台增加暂存功能</w:t>
      </w:r>
      <w:r>
        <w:rPr>
          <w:rFonts w:hint="eastAsia"/>
          <w:sz w:val="24"/>
        </w:rPr>
        <w:t>，添加拟鉴别、</w:t>
      </w:r>
      <w:r>
        <w:rPr>
          <w:sz w:val="24"/>
        </w:rPr>
        <w:t>添加鉴别报告时提供暂存功能</w:t>
      </w:r>
      <w:r>
        <w:rPr>
          <w:rFonts w:hint="eastAsia"/>
          <w:sz w:val="24"/>
        </w:rPr>
        <w:t>，</w:t>
      </w:r>
      <w:r>
        <w:rPr>
          <w:sz w:val="24"/>
        </w:rPr>
        <w:t>暂存时不校验必填项</w:t>
      </w:r>
      <w:r>
        <w:rPr>
          <w:rFonts w:hint="eastAsia"/>
          <w:sz w:val="24"/>
        </w:rPr>
        <w:t>，</w:t>
      </w:r>
      <w:r>
        <w:rPr>
          <w:sz w:val="24"/>
        </w:rPr>
        <w:t>本单位录入的暂存可修改后提交</w:t>
      </w:r>
      <w:r>
        <w:rPr>
          <w:rFonts w:hint="eastAsia"/>
          <w:sz w:val="24"/>
        </w:rPr>
        <w:t>。列表中【鉴别结果】显示“暂存”。</w:t>
      </w:r>
    </w:p>
    <w:p>
      <w:pPr>
        <w:spacing w:line="360" w:lineRule="auto"/>
        <w:ind w:firstLine="480" w:firstLineChars="200"/>
        <w:rPr>
          <w:rFonts w:hint="eastAsia"/>
          <w:sz w:val="24"/>
        </w:rPr>
      </w:pPr>
      <w:r>
        <w:rPr>
          <w:rFonts w:hint="eastAsia"/>
          <w:sz w:val="24"/>
          <w:lang w:val="en-US" w:eastAsia="zh-CN"/>
        </w:rPr>
        <w:t>填写鉴别报告的过程中，未填写完，或信息填写不全时，可以点击【暂存】按钮，对填写的数据信息进行暂存，录入的暂存信息可在修改后提交。</w:t>
      </w:r>
      <w:r>
        <w:rPr>
          <w:rFonts w:hint="eastAsia"/>
          <w:sz w:val="24"/>
        </w:rPr>
        <w:t>列表中【鉴别结果】显</w:t>
      </w:r>
      <w:r>
        <w:rPr>
          <w:rFonts w:hint="eastAsia"/>
          <w:sz w:val="24"/>
          <w:lang w:val="en-US" w:eastAsia="zh-CN"/>
        </w:rPr>
        <w:t>示</w:t>
      </w:r>
      <w:r>
        <w:rPr>
          <w:rFonts w:hint="eastAsia"/>
          <w:sz w:val="24"/>
        </w:rPr>
        <w:t>“暂存”。</w:t>
      </w:r>
    </w:p>
    <w:p>
      <w:pPr>
        <w:spacing w:line="360" w:lineRule="auto"/>
        <w:rPr>
          <w:rFonts w:hint="default" w:eastAsiaTheme="minorEastAsia"/>
          <w:sz w:val="24"/>
          <w:lang w:val="en-US" w:eastAsia="zh-CN"/>
        </w:rPr>
      </w:pPr>
      <w:r>
        <w:drawing>
          <wp:inline distT="0" distB="0" distL="114300" distR="114300">
            <wp:extent cx="5266690" cy="2367280"/>
            <wp:effectExtent l="0" t="0" r="3810" b="762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0"/>
                    <a:stretch>
                      <a:fillRect/>
                    </a:stretch>
                  </pic:blipFill>
                  <pic:spPr>
                    <a:xfrm>
                      <a:off x="0" y="0"/>
                      <a:ext cx="5266690" cy="2367280"/>
                    </a:xfrm>
                    <a:prstGeom prst="rect">
                      <a:avLst/>
                    </a:prstGeom>
                    <a:noFill/>
                    <a:ln>
                      <a:noFill/>
                    </a:ln>
                  </pic:spPr>
                </pic:pic>
              </a:graphicData>
            </a:graphic>
          </wp:inline>
        </w:drawing>
      </w:r>
    </w:p>
    <w:p>
      <w:pPr>
        <w:spacing w:line="360" w:lineRule="auto"/>
      </w:pPr>
    </w:p>
    <w:p>
      <w:pPr>
        <w:numPr>
          <w:ilvl w:val="0"/>
          <w:numId w:val="5"/>
        </w:numPr>
        <w:spacing w:line="360" w:lineRule="auto"/>
        <w:rPr>
          <w:sz w:val="24"/>
        </w:rPr>
      </w:pPr>
      <w:r>
        <w:rPr>
          <w:rFonts w:hint="eastAsia"/>
          <w:sz w:val="24"/>
        </w:rPr>
        <w:t>上传报告后，可以点击</w:t>
      </w:r>
      <w:r>
        <w:rPr>
          <w:rFonts w:hint="eastAsia"/>
          <w:sz w:val="24"/>
          <w:lang w:eastAsia="zh-CN"/>
        </w:rPr>
        <w:t>【</w:t>
      </w:r>
      <w:r>
        <w:rPr>
          <w:rFonts w:hint="eastAsia"/>
          <w:sz w:val="24"/>
        </w:rPr>
        <w:t>查看</w:t>
      </w:r>
      <w:r>
        <w:rPr>
          <w:rFonts w:hint="eastAsia"/>
          <w:sz w:val="24"/>
          <w:lang w:eastAsia="zh-CN"/>
        </w:rPr>
        <w:t>】</w:t>
      </w:r>
      <w:r>
        <w:rPr>
          <w:rFonts w:hint="eastAsia"/>
          <w:sz w:val="24"/>
          <w:lang w:val="en-US" w:eastAsia="zh-CN"/>
        </w:rPr>
        <w:t>按钮查看</w:t>
      </w:r>
      <w:r>
        <w:rPr>
          <w:rFonts w:hint="eastAsia"/>
          <w:sz w:val="24"/>
        </w:rPr>
        <w:t>鉴别案例，</w:t>
      </w:r>
      <w:r>
        <w:rPr>
          <w:sz w:val="24"/>
        </w:rPr>
        <w:t>案例查看页面</w:t>
      </w:r>
      <w:r>
        <w:rPr>
          <w:rFonts w:hint="eastAsia"/>
          <w:sz w:val="24"/>
        </w:rPr>
        <w:t>，</w:t>
      </w:r>
      <w:r>
        <w:rPr>
          <w:sz w:val="24"/>
        </w:rPr>
        <w:t>只能查看不允许修改</w:t>
      </w:r>
    </w:p>
    <w:p>
      <w:pPr>
        <w:spacing w:line="360" w:lineRule="auto"/>
      </w:pPr>
      <w:r>
        <w:drawing>
          <wp:inline distT="0" distB="0" distL="114300" distR="114300">
            <wp:extent cx="5266690" cy="2367280"/>
            <wp:effectExtent l="0" t="0" r="3810" b="762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1"/>
                    <a:stretch>
                      <a:fillRect/>
                    </a:stretch>
                  </pic:blipFill>
                  <pic:spPr>
                    <a:xfrm>
                      <a:off x="0" y="0"/>
                      <a:ext cx="5266690" cy="2367280"/>
                    </a:xfrm>
                    <a:prstGeom prst="rect">
                      <a:avLst/>
                    </a:prstGeom>
                    <a:noFill/>
                    <a:ln>
                      <a:noFill/>
                    </a:ln>
                  </pic:spPr>
                </pic:pic>
              </a:graphicData>
            </a:graphic>
          </wp:inline>
        </w:drawing>
      </w:r>
    </w:p>
    <w:p>
      <w:pPr>
        <w:spacing w:line="360" w:lineRule="auto"/>
      </w:pPr>
    </w:p>
    <w:p>
      <w:pPr>
        <w:numPr>
          <w:ilvl w:val="0"/>
          <w:numId w:val="5"/>
        </w:numPr>
        <w:spacing w:line="360" w:lineRule="auto"/>
        <w:rPr>
          <w:sz w:val="24"/>
        </w:rPr>
      </w:pPr>
      <w:r>
        <w:rPr>
          <w:sz w:val="24"/>
        </w:rPr>
        <w:t>提交成功后鉴别报告进行信息公开</w:t>
      </w:r>
      <w:r>
        <w:rPr>
          <w:rFonts w:hint="eastAsia"/>
          <w:sz w:val="24"/>
        </w:rPr>
        <w:t>，公开期间如需要重新评估鉴定的，需要</w:t>
      </w:r>
      <w:r>
        <w:rPr>
          <w:sz w:val="24"/>
        </w:rPr>
        <w:t>产生固体废物的单位</w:t>
      </w:r>
      <w:r>
        <w:rPr>
          <w:rFonts w:hint="eastAsia"/>
          <w:sz w:val="24"/>
        </w:rPr>
        <w:t>点击【</w:t>
      </w:r>
      <w:r>
        <w:rPr>
          <w:rFonts w:hint="eastAsia"/>
          <w:sz w:val="24"/>
          <w:lang w:val="en-US" w:eastAsia="zh-CN"/>
        </w:rPr>
        <w:t>更新</w:t>
      </w:r>
      <w:r>
        <w:rPr>
          <w:rFonts w:hint="eastAsia"/>
          <w:sz w:val="24"/>
        </w:rPr>
        <w:t>报告】</w:t>
      </w:r>
      <w:r>
        <w:rPr>
          <w:rFonts w:hint="eastAsia"/>
          <w:sz w:val="24"/>
          <w:lang w:val="en-US" w:eastAsia="zh-CN"/>
        </w:rPr>
        <w:t>按钮</w:t>
      </w:r>
      <w:r>
        <w:rPr>
          <w:rFonts w:hint="eastAsia"/>
          <w:sz w:val="24"/>
        </w:rPr>
        <w:t>，将最新的鉴别报告信息录入系统中，并更新公开信息，新信息替换旧信息，旧信息保留痕迹。</w:t>
      </w:r>
    </w:p>
    <w:p>
      <w:pPr>
        <w:spacing w:line="360" w:lineRule="auto"/>
        <w:rPr>
          <w:sz w:val="24"/>
        </w:rPr>
      </w:pPr>
      <w:r>
        <w:drawing>
          <wp:inline distT="0" distB="0" distL="114300" distR="114300">
            <wp:extent cx="5266690" cy="2367280"/>
            <wp:effectExtent l="0" t="0" r="3810" b="762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2"/>
                    <a:stretch>
                      <a:fillRect/>
                    </a:stretch>
                  </pic:blipFill>
                  <pic:spPr>
                    <a:xfrm>
                      <a:off x="0" y="0"/>
                      <a:ext cx="5266690" cy="2367280"/>
                    </a:xfrm>
                    <a:prstGeom prst="rect">
                      <a:avLst/>
                    </a:prstGeom>
                    <a:noFill/>
                    <a:ln>
                      <a:noFill/>
                    </a:ln>
                  </pic:spPr>
                </pic:pic>
              </a:graphicData>
            </a:graphic>
          </wp:inline>
        </w:drawing>
      </w:r>
    </w:p>
    <w:p>
      <w:pPr>
        <w:pStyle w:val="3"/>
        <w:rPr>
          <w:b w:val="0"/>
          <w:bCs/>
        </w:rPr>
      </w:pPr>
      <w:bookmarkStart w:id="6" w:name="_Toc9824"/>
      <w:r>
        <w:rPr>
          <w:rFonts w:hint="eastAsia" w:ascii="黑体" w:hAnsi="黑体" w:cs="黑体"/>
          <w:b w:val="0"/>
          <w:bCs/>
          <w:sz w:val="30"/>
          <w:szCs w:val="30"/>
        </w:rPr>
        <w:t>3.2</w:t>
      </w:r>
      <w:r>
        <w:rPr>
          <w:rFonts w:hint="eastAsia" w:ascii="黑体" w:hAnsi="黑体" w:cs="黑体"/>
          <w:b w:val="0"/>
          <w:bCs/>
          <w:sz w:val="30"/>
          <w:szCs w:val="30"/>
          <w:lang w:val="en-US" w:eastAsia="zh-CN"/>
        </w:rPr>
        <w:t>危险废物</w:t>
      </w:r>
      <w:r>
        <w:rPr>
          <w:rFonts w:hint="eastAsia" w:ascii="黑体" w:hAnsi="黑体" w:cs="黑体"/>
          <w:b w:val="0"/>
          <w:bCs/>
          <w:sz w:val="30"/>
          <w:szCs w:val="30"/>
        </w:rPr>
        <w:t>鉴别单位查询</w:t>
      </w:r>
      <w:bookmarkEnd w:id="6"/>
    </w:p>
    <w:p>
      <w:pPr>
        <w:ind w:firstLine="240" w:firstLineChars="100"/>
        <w:rPr>
          <w:rFonts w:hint="eastAsia"/>
          <w:sz w:val="24"/>
          <w:lang w:val="en-US" w:eastAsia="zh-CN"/>
        </w:rPr>
      </w:pPr>
      <w:r>
        <w:rPr>
          <w:rFonts w:hint="eastAsia" w:ascii="Calibri" w:hAnsi="Calibri" w:eastAsia="宋体" w:cs="Times New Roman"/>
          <w:sz w:val="24"/>
        </w:rPr>
        <w:t>鉴别单位信息通过鉴别信息平台进行公开，</w:t>
      </w:r>
      <w:r>
        <w:rPr>
          <w:rFonts w:hint="eastAsia" w:ascii="Calibri" w:hAnsi="Calibri" w:eastAsia="宋体" w:cs="Times New Roman"/>
          <w:sz w:val="24"/>
          <w:lang w:val="en-US" w:eastAsia="zh-CN"/>
        </w:rPr>
        <w:t>点</w:t>
      </w:r>
      <w:r>
        <w:rPr>
          <w:rFonts w:hint="eastAsia"/>
          <w:sz w:val="24"/>
          <w:lang w:val="en-US" w:eastAsia="zh-CN"/>
        </w:rPr>
        <w:t>击【查询】可以根据查询条件查看到相应的鉴别单位。</w:t>
      </w:r>
    </w:p>
    <w:p>
      <w:pPr>
        <w:ind w:firstLine="240" w:firstLineChars="100"/>
        <w:rPr>
          <w:rFonts w:hint="eastAsia" w:ascii="Calibri" w:hAnsi="Calibri" w:eastAsia="宋体" w:cs="Times New Roman"/>
          <w:sz w:val="24"/>
          <w:lang w:eastAsia="zh-CN"/>
        </w:rPr>
      </w:pPr>
      <w:r>
        <w:rPr>
          <w:rFonts w:hint="eastAsia"/>
          <w:sz w:val="24"/>
          <w:lang w:val="en-US" w:eastAsia="zh-CN"/>
        </w:rPr>
        <w:t>范围：</w:t>
      </w:r>
      <w:r>
        <w:rPr>
          <w:rFonts w:hint="eastAsia" w:ascii="Calibri" w:hAnsi="Calibri" w:eastAsia="宋体" w:cs="Times New Roman"/>
          <w:sz w:val="24"/>
          <w:lang w:val="en-US" w:eastAsia="zh-CN"/>
        </w:rPr>
        <w:t>可以查看</w:t>
      </w:r>
      <w:r>
        <w:rPr>
          <w:rFonts w:hint="eastAsia" w:ascii="Calibri" w:hAnsi="Calibri" w:eastAsia="宋体" w:cs="Times New Roman"/>
          <w:sz w:val="24"/>
        </w:rPr>
        <w:t>到在全国系统中注册的鉴别单位</w:t>
      </w:r>
      <w:r>
        <w:rPr>
          <w:rFonts w:hint="eastAsia" w:ascii="Calibri" w:hAnsi="Calibri" w:eastAsia="宋体" w:cs="Times New Roman"/>
          <w:sz w:val="24"/>
          <w:lang w:eastAsia="zh-CN"/>
        </w:rPr>
        <w:t>。</w:t>
      </w:r>
    </w:p>
    <w:p>
      <w:pPr>
        <w:rPr>
          <w:sz w:val="24"/>
        </w:rPr>
      </w:pPr>
    </w:p>
    <w:p>
      <w:pPr>
        <w:spacing w:line="360" w:lineRule="auto"/>
        <w:rPr>
          <w:sz w:val="24"/>
        </w:rPr>
      </w:pPr>
      <w:r>
        <w:drawing>
          <wp:inline distT="0" distB="0" distL="114300" distR="114300">
            <wp:extent cx="5266690" cy="2367280"/>
            <wp:effectExtent l="0" t="0" r="3810" b="762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3"/>
                    <a:stretch>
                      <a:fillRect/>
                    </a:stretch>
                  </pic:blipFill>
                  <pic:spPr>
                    <a:xfrm>
                      <a:off x="0" y="0"/>
                      <a:ext cx="5266690" cy="2367280"/>
                    </a:xfrm>
                    <a:prstGeom prst="rect">
                      <a:avLst/>
                    </a:prstGeom>
                    <a:noFill/>
                    <a:ln>
                      <a:noFill/>
                    </a:ln>
                  </pic:spPr>
                </pic:pic>
              </a:graphicData>
            </a:graphic>
          </wp:inline>
        </w:drawing>
      </w:r>
    </w:p>
    <w:p/>
    <w:p>
      <w:pPr>
        <w:spacing w:line="360" w:lineRule="auto"/>
        <w:rPr>
          <w:sz w:val="24"/>
        </w:rPr>
      </w:pPr>
    </w:p>
    <w:p/>
    <w:p>
      <w:pPr>
        <w:pStyle w:val="2"/>
        <w:rPr>
          <w:b w:val="0"/>
          <w:bCs/>
        </w:rPr>
      </w:pPr>
      <w:bookmarkStart w:id="7" w:name="_Toc22994"/>
      <w:r>
        <w:rPr>
          <w:rFonts w:hint="eastAsia" w:ascii="黑体" w:hAnsi="黑体" w:eastAsia="黑体" w:cs="黑体"/>
          <w:b w:val="0"/>
          <w:bCs/>
          <w:sz w:val="36"/>
          <w:szCs w:val="36"/>
        </w:rPr>
        <w:t>4.</w:t>
      </w:r>
      <w:r>
        <w:rPr>
          <w:rFonts w:hint="eastAsia" w:ascii="黑体" w:hAnsi="黑体" w:eastAsia="黑体" w:cs="Times New Roman"/>
          <w:bCs/>
          <w:sz w:val="36"/>
          <w:szCs w:val="36"/>
        </w:rPr>
        <w:t>鉴别单位</w:t>
      </w:r>
      <w:bookmarkEnd w:id="7"/>
    </w:p>
    <w:p>
      <w:pPr>
        <w:pStyle w:val="3"/>
        <w:rPr>
          <w:rFonts w:ascii="黑体" w:hAnsi="黑体" w:cs="黑体"/>
          <w:b w:val="0"/>
          <w:bCs/>
          <w:sz w:val="30"/>
          <w:szCs w:val="30"/>
        </w:rPr>
      </w:pPr>
      <w:bookmarkStart w:id="8" w:name="_Toc25275"/>
      <w:r>
        <w:rPr>
          <w:rFonts w:hint="eastAsia" w:ascii="黑体" w:hAnsi="黑体" w:cs="黑体"/>
          <w:b w:val="0"/>
          <w:bCs/>
          <w:sz w:val="30"/>
          <w:szCs w:val="30"/>
        </w:rPr>
        <w:t>4.1</w:t>
      </w:r>
      <w:r>
        <w:rPr>
          <w:rFonts w:hint="eastAsia" w:ascii="黑体" w:hAnsi="黑体" w:cs="黑体"/>
          <w:b w:val="0"/>
          <w:bCs/>
          <w:sz w:val="30"/>
          <w:szCs w:val="30"/>
          <w:lang w:val="en-US" w:eastAsia="zh-CN"/>
        </w:rPr>
        <w:t>危险废物</w:t>
      </w:r>
      <w:r>
        <w:rPr>
          <w:rFonts w:hint="eastAsia" w:ascii="黑体" w:hAnsi="黑体" w:cs="黑体"/>
          <w:b w:val="0"/>
          <w:bCs/>
          <w:sz w:val="30"/>
          <w:szCs w:val="30"/>
        </w:rPr>
        <w:t>鉴别单位信息编辑</w:t>
      </w:r>
      <w:bookmarkEnd w:id="8"/>
    </w:p>
    <w:p>
      <w:pPr>
        <w:spacing w:line="360" w:lineRule="auto"/>
        <w:ind w:firstLine="480" w:firstLineChars="200"/>
        <w:rPr>
          <w:sz w:val="24"/>
        </w:rPr>
      </w:pPr>
      <w:r>
        <w:rPr>
          <w:rFonts w:hint="eastAsia" w:ascii="Calibri" w:hAnsi="Calibri" w:eastAsia="宋体" w:cs="Times New Roman"/>
          <w:sz w:val="24"/>
          <w:lang w:val="en-US" w:eastAsia="zh-CN"/>
        </w:rPr>
        <w:t>在</w:t>
      </w:r>
      <w:r>
        <w:rPr>
          <w:rFonts w:hint="eastAsia" w:ascii="Calibri" w:hAnsi="Calibri" w:eastAsia="宋体" w:cs="Times New Roman"/>
          <w:sz w:val="24"/>
        </w:rPr>
        <w:t>【鉴别单位信息编辑】</w:t>
      </w:r>
      <w:r>
        <w:rPr>
          <w:rFonts w:hint="eastAsia" w:ascii="Calibri" w:hAnsi="Calibri" w:eastAsia="宋体" w:cs="Times New Roman"/>
          <w:sz w:val="24"/>
          <w:lang w:val="en-US" w:eastAsia="zh-CN"/>
        </w:rPr>
        <w:t>页面</w:t>
      </w:r>
      <w:r>
        <w:rPr>
          <w:rFonts w:hint="eastAsia" w:ascii="Calibri" w:hAnsi="Calibri" w:eastAsia="宋体" w:cs="Times New Roman"/>
          <w:sz w:val="24"/>
        </w:rPr>
        <w:t>可查看到本单位的信息，点击【编辑】</w:t>
      </w:r>
      <w:r>
        <w:rPr>
          <w:rFonts w:hint="eastAsia" w:ascii="Calibri" w:hAnsi="Calibri" w:eastAsia="宋体" w:cs="Times New Roman"/>
          <w:sz w:val="24"/>
          <w:lang w:val="en-US" w:eastAsia="zh-CN"/>
        </w:rPr>
        <w:t>按钮</w:t>
      </w:r>
      <w:r>
        <w:rPr>
          <w:rFonts w:hint="eastAsia" w:ascii="Calibri" w:hAnsi="Calibri" w:eastAsia="宋体" w:cs="Times New Roman"/>
          <w:sz w:val="24"/>
        </w:rPr>
        <w:t>可修改本单位的基本信息</w:t>
      </w:r>
      <w:r>
        <w:rPr>
          <w:rFonts w:hint="eastAsia" w:ascii="Calibri" w:hAnsi="Calibri" w:eastAsia="宋体" w:cs="Times New Roman"/>
          <w:sz w:val="24"/>
          <w:lang w:eastAsia="zh-CN"/>
        </w:rPr>
        <w:t>，</w:t>
      </w:r>
      <w:r>
        <w:rPr>
          <w:rFonts w:hint="eastAsia"/>
          <w:sz w:val="24"/>
        </w:rPr>
        <w:t>鉴别单位权限可以对鉴别机构信息编辑，查看本鉴别单位鉴别的鉴别报告；</w:t>
      </w:r>
    </w:p>
    <w:p>
      <w:pPr>
        <w:spacing w:line="360" w:lineRule="auto"/>
        <w:ind w:firstLine="480" w:firstLineChars="200"/>
        <w:rPr>
          <w:rFonts w:hint="eastAsia" w:ascii="Calibri" w:hAnsi="Calibri" w:eastAsia="宋体" w:cs="Times New Roman"/>
          <w:sz w:val="24"/>
          <w:lang w:eastAsia="zh-CN"/>
        </w:rPr>
      </w:pPr>
    </w:p>
    <w:p>
      <w:r>
        <w:drawing>
          <wp:inline distT="0" distB="0" distL="114300" distR="114300">
            <wp:extent cx="5266690" cy="2367280"/>
            <wp:effectExtent l="0" t="0" r="381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4"/>
                    <a:stretch>
                      <a:fillRect/>
                    </a:stretch>
                  </pic:blipFill>
                  <pic:spPr>
                    <a:xfrm>
                      <a:off x="0" y="0"/>
                      <a:ext cx="5266690" cy="2367280"/>
                    </a:xfrm>
                    <a:prstGeom prst="rect">
                      <a:avLst/>
                    </a:prstGeom>
                    <a:noFill/>
                    <a:ln>
                      <a:noFill/>
                    </a:ln>
                  </pic:spPr>
                </pic:pic>
              </a:graphicData>
            </a:graphic>
          </wp:inline>
        </w:drawing>
      </w:r>
    </w:p>
    <w:p/>
    <w:p/>
    <w:p>
      <w:pPr>
        <w:rPr>
          <w:rFonts w:hint="default" w:eastAsiaTheme="minorEastAsia"/>
          <w:lang w:val="en-US" w:eastAsia="zh-CN"/>
        </w:rPr>
      </w:pPr>
      <w:r>
        <w:rPr>
          <w:rFonts w:hint="eastAsia" w:ascii="Calibri" w:hAnsi="Calibri" w:eastAsia="宋体" w:cs="Times New Roman"/>
          <w:sz w:val="24"/>
          <w:lang w:val="en-US" w:eastAsia="zh-CN"/>
        </w:rPr>
        <w:t>点击【目录】，可以查看到完整的信息目录，点击相应的目录可以快速定位到要修改的位置</w:t>
      </w:r>
    </w:p>
    <w:p>
      <w:r>
        <w:drawing>
          <wp:inline distT="0" distB="0" distL="114300" distR="114300">
            <wp:extent cx="5266690" cy="2364740"/>
            <wp:effectExtent l="0" t="0" r="381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5"/>
                    <a:stretch>
                      <a:fillRect/>
                    </a:stretch>
                  </pic:blipFill>
                  <pic:spPr>
                    <a:xfrm>
                      <a:off x="0" y="0"/>
                      <a:ext cx="5266690" cy="2364740"/>
                    </a:xfrm>
                    <a:prstGeom prst="rect">
                      <a:avLst/>
                    </a:prstGeom>
                    <a:noFill/>
                    <a:ln>
                      <a:noFill/>
                    </a:ln>
                  </pic:spPr>
                </pic:pic>
              </a:graphicData>
            </a:graphic>
          </wp:inline>
        </w:drawing>
      </w:r>
    </w:p>
    <w:p>
      <w:r>
        <w:drawing>
          <wp:inline distT="0" distB="0" distL="114300" distR="114300">
            <wp:extent cx="5266690" cy="2372995"/>
            <wp:effectExtent l="0" t="0" r="381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6"/>
                    <a:stretch>
                      <a:fillRect/>
                    </a:stretch>
                  </pic:blipFill>
                  <pic:spPr>
                    <a:xfrm>
                      <a:off x="0" y="0"/>
                      <a:ext cx="5266690" cy="2372995"/>
                    </a:xfrm>
                    <a:prstGeom prst="rect">
                      <a:avLst/>
                    </a:prstGeom>
                    <a:noFill/>
                    <a:ln>
                      <a:noFill/>
                    </a:ln>
                  </pic:spPr>
                </pic:pic>
              </a:graphicData>
            </a:graphic>
          </wp:inline>
        </w:drawing>
      </w:r>
    </w:p>
    <w:p>
      <w:pPr>
        <w:pStyle w:val="3"/>
        <w:rPr>
          <w:rFonts w:hint="default" w:ascii="黑体" w:hAnsi="黑体" w:eastAsia="黑体" w:cs="黑体"/>
          <w:b w:val="0"/>
          <w:bCs/>
          <w:sz w:val="30"/>
          <w:szCs w:val="30"/>
          <w:lang w:val="en-US" w:eastAsia="zh-CN"/>
        </w:rPr>
      </w:pPr>
      <w:bookmarkStart w:id="9" w:name="_Toc26745"/>
      <w:r>
        <w:rPr>
          <w:rFonts w:hint="eastAsia" w:ascii="黑体" w:hAnsi="黑体" w:cs="黑体"/>
          <w:b w:val="0"/>
          <w:bCs/>
          <w:sz w:val="30"/>
          <w:szCs w:val="30"/>
        </w:rPr>
        <w:t>4.2</w:t>
      </w:r>
      <w:r>
        <w:rPr>
          <w:rFonts w:hint="eastAsia" w:ascii="黑体" w:hAnsi="黑体" w:cs="黑体"/>
          <w:b w:val="0"/>
          <w:bCs/>
          <w:sz w:val="30"/>
          <w:szCs w:val="30"/>
          <w:lang w:val="en-US" w:eastAsia="zh-CN"/>
        </w:rPr>
        <w:t>危险废物</w:t>
      </w:r>
      <w:r>
        <w:rPr>
          <w:rFonts w:hint="eastAsia" w:ascii="黑体" w:hAnsi="黑体" w:cs="黑体"/>
          <w:b w:val="0"/>
          <w:bCs/>
          <w:sz w:val="30"/>
          <w:szCs w:val="30"/>
        </w:rPr>
        <w:t>鉴别</w:t>
      </w:r>
      <w:r>
        <w:rPr>
          <w:rFonts w:hint="eastAsia" w:ascii="黑体" w:hAnsi="黑体" w:cs="黑体"/>
          <w:b w:val="0"/>
          <w:bCs/>
          <w:sz w:val="30"/>
          <w:szCs w:val="30"/>
          <w:lang w:val="en-US" w:eastAsia="zh-CN"/>
        </w:rPr>
        <w:t>报告管理</w:t>
      </w:r>
      <w:bookmarkEnd w:id="9"/>
    </w:p>
    <w:p>
      <w:pPr>
        <w:ind w:firstLine="240" w:firstLineChars="100"/>
        <w:rPr>
          <w:rFonts w:hint="eastAsia"/>
          <w:sz w:val="24"/>
          <w:lang w:val="en-US" w:eastAsia="zh-CN"/>
        </w:rPr>
      </w:pPr>
      <w:r>
        <w:rPr>
          <w:rFonts w:hint="eastAsia" w:ascii="Calibri" w:hAnsi="Calibri" w:eastAsia="宋体" w:cs="Times New Roman"/>
          <w:sz w:val="24"/>
        </w:rPr>
        <w:t>鉴别单位信息通过鉴别信息平台进行公开，</w:t>
      </w:r>
      <w:r>
        <w:rPr>
          <w:rFonts w:hint="eastAsia" w:ascii="Calibri" w:hAnsi="Calibri" w:eastAsia="宋体" w:cs="Times New Roman"/>
          <w:sz w:val="24"/>
          <w:lang w:val="en-US" w:eastAsia="zh-CN"/>
        </w:rPr>
        <w:t>点</w:t>
      </w:r>
      <w:r>
        <w:rPr>
          <w:rFonts w:hint="eastAsia"/>
          <w:sz w:val="24"/>
          <w:lang w:val="en-US" w:eastAsia="zh-CN"/>
        </w:rPr>
        <w:t>击【查询】可以根据查询条件查看到相应的鉴别单位。</w:t>
      </w:r>
    </w:p>
    <w:p>
      <w:pPr>
        <w:ind w:firstLine="240" w:firstLineChars="100"/>
        <w:rPr>
          <w:rFonts w:hint="eastAsia" w:ascii="Calibri" w:hAnsi="Calibri" w:eastAsia="宋体" w:cs="Times New Roman"/>
          <w:sz w:val="24"/>
          <w:lang w:eastAsia="zh-CN"/>
        </w:rPr>
      </w:pPr>
      <w:r>
        <w:rPr>
          <w:rFonts w:hint="eastAsia"/>
          <w:sz w:val="24"/>
          <w:lang w:val="en-US" w:eastAsia="zh-CN"/>
        </w:rPr>
        <w:t>范围：</w:t>
      </w:r>
      <w:r>
        <w:rPr>
          <w:rFonts w:hint="eastAsia" w:ascii="Calibri" w:hAnsi="Calibri" w:eastAsia="宋体" w:cs="Times New Roman"/>
          <w:sz w:val="24"/>
          <w:lang w:val="en-US" w:eastAsia="zh-CN"/>
        </w:rPr>
        <w:t>可以查看</w:t>
      </w:r>
      <w:r>
        <w:rPr>
          <w:rFonts w:hint="eastAsia" w:ascii="Calibri" w:hAnsi="Calibri" w:eastAsia="宋体" w:cs="Times New Roman"/>
          <w:sz w:val="24"/>
        </w:rPr>
        <w:t>到在全国系统中注册的鉴别单位</w:t>
      </w:r>
      <w:r>
        <w:rPr>
          <w:rFonts w:hint="eastAsia" w:ascii="Calibri" w:hAnsi="Calibri" w:eastAsia="宋体" w:cs="Times New Roman"/>
          <w:sz w:val="24"/>
          <w:lang w:eastAsia="zh-CN"/>
        </w:rPr>
        <w:t>。</w:t>
      </w:r>
    </w:p>
    <w:p>
      <w:pPr>
        <w:ind w:firstLine="210" w:firstLineChars="100"/>
      </w:pPr>
      <w:r>
        <w:drawing>
          <wp:inline distT="0" distB="0" distL="114300" distR="114300">
            <wp:extent cx="5266690" cy="2367280"/>
            <wp:effectExtent l="0" t="0" r="38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7"/>
                    <a:stretch>
                      <a:fillRect/>
                    </a:stretch>
                  </pic:blipFill>
                  <pic:spPr>
                    <a:xfrm>
                      <a:off x="0" y="0"/>
                      <a:ext cx="5266690" cy="2367280"/>
                    </a:xfrm>
                    <a:prstGeom prst="rect">
                      <a:avLst/>
                    </a:prstGeom>
                    <a:noFill/>
                    <a:ln>
                      <a:noFill/>
                    </a:ln>
                  </pic:spPr>
                </pic:pic>
              </a:graphicData>
            </a:graphic>
          </wp:inline>
        </w:drawing>
      </w:r>
    </w:p>
    <w:p>
      <w:pPr>
        <w:ind w:firstLine="210" w:firstLineChars="100"/>
      </w:pPr>
    </w:p>
    <w:p/>
    <w:sectPr>
      <w:footerReference r:id="rId6" w:type="default"/>
      <w:pgSz w:w="11906" w:h="16838"/>
      <w:pgMar w:top="1440" w:right="1800" w:bottom="1440" w:left="1800" w:header="1134" w:footer="1191"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right"/>
      <w:rPr>
        <w:rFonts w:hint="default" w:eastAsiaTheme="minorEastAsia"/>
        <w:lang w:val="en-US" w:eastAsia="zh-CN"/>
      </w:rPr>
    </w:pPr>
    <w:r>
      <w:rPr>
        <w:rFonts w:hint="eastAsia"/>
        <w:lang w:val="en-US" w:eastAsia="zh-CN"/>
      </w:rPr>
      <w:t>危废鉴别平台用户使用手册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1084AE"/>
    <w:multiLevelType w:val="singleLevel"/>
    <w:tmpl w:val="C21084AE"/>
    <w:lvl w:ilvl="0" w:tentative="0">
      <w:start w:val="1"/>
      <w:numFmt w:val="decimal"/>
      <w:lvlText w:val="%1)"/>
      <w:lvlJc w:val="left"/>
      <w:pPr>
        <w:ind w:left="425" w:hanging="425"/>
      </w:pPr>
      <w:rPr>
        <w:rFonts w:hint="default"/>
      </w:rPr>
    </w:lvl>
  </w:abstractNum>
  <w:abstractNum w:abstractNumId="1">
    <w:nsid w:val="C7B58E86"/>
    <w:multiLevelType w:val="singleLevel"/>
    <w:tmpl w:val="C7B58E86"/>
    <w:lvl w:ilvl="0" w:tentative="0">
      <w:start w:val="1"/>
      <w:numFmt w:val="decimal"/>
      <w:suff w:val="nothing"/>
      <w:lvlText w:val="%1、"/>
      <w:lvlJc w:val="left"/>
    </w:lvl>
  </w:abstractNum>
  <w:abstractNum w:abstractNumId="2">
    <w:nsid w:val="F52CA0A5"/>
    <w:multiLevelType w:val="singleLevel"/>
    <w:tmpl w:val="F52CA0A5"/>
    <w:lvl w:ilvl="0" w:tentative="0">
      <w:start w:val="1"/>
      <w:numFmt w:val="decimal"/>
      <w:lvlText w:val="%1)"/>
      <w:lvlJc w:val="left"/>
      <w:pPr>
        <w:ind w:left="425" w:hanging="425"/>
      </w:pPr>
      <w:rPr>
        <w:rFonts w:hint="default"/>
      </w:rPr>
    </w:lvl>
  </w:abstractNum>
  <w:abstractNum w:abstractNumId="3">
    <w:nsid w:val="1FCE56C7"/>
    <w:multiLevelType w:val="multilevel"/>
    <w:tmpl w:val="1FCE56C7"/>
    <w:lvl w:ilvl="0" w:tentative="0">
      <w:start w:val="1"/>
      <w:numFmt w:val="decimal"/>
      <w:lvlText w:val="%1."/>
      <w:lvlJc w:val="left"/>
      <w:pPr>
        <w:ind w:left="420" w:hanging="420"/>
      </w:p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02B93EC"/>
    <w:multiLevelType w:val="singleLevel"/>
    <w:tmpl w:val="302B93EC"/>
    <w:lvl w:ilvl="0" w:tentative="0">
      <w:start w:val="1"/>
      <w:numFmt w:val="decimal"/>
      <w:suff w:val="nothing"/>
      <w:lvlText w:val="%1、"/>
      <w:lvlJc w:val="left"/>
    </w:lvl>
  </w:abstractNum>
  <w:abstractNum w:abstractNumId="5">
    <w:nsid w:val="53484039"/>
    <w:multiLevelType w:val="multilevel"/>
    <w:tmpl w:val="5348403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708"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8F0"/>
    <w:rsid w:val="00221364"/>
    <w:rsid w:val="002628F0"/>
    <w:rsid w:val="00545C2A"/>
    <w:rsid w:val="006628F3"/>
    <w:rsid w:val="006C7A44"/>
    <w:rsid w:val="006F2DC6"/>
    <w:rsid w:val="074E7D3C"/>
    <w:rsid w:val="0A803B0B"/>
    <w:rsid w:val="1FAA0DF5"/>
    <w:rsid w:val="2EB176D6"/>
    <w:rsid w:val="361232DB"/>
    <w:rsid w:val="435C58D2"/>
    <w:rsid w:val="4A4C235A"/>
    <w:rsid w:val="53C15F50"/>
    <w:rsid w:val="5F944EC8"/>
    <w:rsid w:val="60821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1"/>
    <w:unhideWhenUsed/>
    <w:qFormat/>
    <w:uiPriority w:val="0"/>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character" w:customStyle="1" w:styleId="11">
    <w:name w:val="标题 3 Char"/>
    <w:basedOn w:val="10"/>
    <w:link w:val="4"/>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567</Words>
  <Characters>3233</Characters>
  <Lines>26</Lines>
  <Paragraphs>7</Paragraphs>
  <TotalTime>1</TotalTime>
  <ScaleCrop>false</ScaleCrop>
  <LinksUpToDate>false</LinksUpToDate>
  <CharactersWithSpaces>3793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2021-06-17T09:20:00Z</dcterms:created>
  <dc:creator>Administrator</dc:creator>
  <cp:lastModifiedBy>武雪</cp:lastModifiedBy>
  <dcterms:modified xsi:type="dcterms:W3CDTF">2021-10-12T08:52:22Z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