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F779" w14:textId="114E276B" w:rsidR="00C27B08" w:rsidRDefault="00000000">
      <w:pPr>
        <w:spacing w:line="560" w:lineRule="exact"/>
        <w:rPr>
          <w:rFonts w:eastAsia="仿宋_GB2312"/>
          <w:spacing w:val="-12"/>
          <w:sz w:val="32"/>
          <w:szCs w:val="32"/>
        </w:rPr>
      </w:pPr>
      <w:r>
        <w:rPr>
          <w:rFonts w:ascii="黑体" w:eastAsia="黑体" w:hAnsi="宋体" w:cs="黑体" w:hint="eastAsia"/>
          <w:spacing w:val="-12"/>
          <w:sz w:val="32"/>
          <w:szCs w:val="32"/>
          <w:lang w:bidi="ar"/>
        </w:rPr>
        <w:t>附件</w:t>
      </w:r>
    </w:p>
    <w:p w14:paraId="6039A5A2" w14:textId="77777777" w:rsidR="00C27B08" w:rsidRDefault="00000000">
      <w:pPr>
        <w:autoSpaceDE w:val="0"/>
        <w:spacing w:line="560" w:lineRule="exact"/>
        <w:rPr>
          <w:rFonts w:eastAsia="方正小标宋简体"/>
          <w:color w:val="000000"/>
          <w:sz w:val="44"/>
          <w:szCs w:val="44"/>
        </w:rPr>
      </w:pPr>
      <w:bookmarkStart w:id="0" w:name="_Toc353221660"/>
      <w:bookmarkStart w:id="1" w:name="_Toc342561146"/>
      <w:bookmarkStart w:id="2" w:name="_Toc342561150"/>
      <w:bookmarkEnd w:id="0"/>
      <w:bookmarkEnd w:id="1"/>
      <w:r>
        <w:rPr>
          <w:rFonts w:ascii="Times New Roman" w:eastAsia="方正小标宋简体" w:hAnsi="Times New Roman" w:cs="Times New Roman"/>
          <w:color w:val="000000"/>
          <w:sz w:val="44"/>
          <w:szCs w:val="44"/>
          <w:lang w:bidi="ar"/>
        </w:rPr>
        <w:t xml:space="preserve"> </w:t>
      </w:r>
      <w:bookmarkEnd w:id="2"/>
    </w:p>
    <w:p w14:paraId="2AB5F2B9" w14:textId="77777777" w:rsidR="00C27B08" w:rsidRDefault="00000000">
      <w:pPr>
        <w:autoSpaceDE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  <w:lang w:bidi="ar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十四五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lang w:bidi="ar"/>
        </w:rPr>
        <w:t>”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时期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lang w:bidi="ar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无废城市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  <w:lang w:bidi="ar"/>
        </w:rPr>
        <w:t>”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建设典型案例</w:t>
      </w:r>
    </w:p>
    <w:p w14:paraId="44CBCECF" w14:textId="77777777" w:rsidR="00C27B08" w:rsidRDefault="00000000">
      <w:pPr>
        <w:autoSpaceDE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申报书</w:t>
      </w:r>
    </w:p>
    <w:p w14:paraId="5BFEF609" w14:textId="77777777" w:rsidR="00C27B08" w:rsidRDefault="00000000">
      <w:pPr>
        <w:autoSpaceDE w:val="0"/>
        <w:snapToGrid w:val="0"/>
        <w:spacing w:line="560" w:lineRule="exact"/>
        <w:ind w:firstLine="1072"/>
        <w:jc w:val="center"/>
        <w:rPr>
          <w:rFonts w:eastAsia="方正小标宋_GBK"/>
          <w:spacing w:val="8"/>
          <w:sz w:val="52"/>
          <w:szCs w:val="52"/>
        </w:rPr>
      </w:pPr>
      <w:r>
        <w:rPr>
          <w:rFonts w:ascii="Times New Roman" w:eastAsia="方正小标宋_GBK" w:hAnsi="Times New Roman" w:cs="Times New Roman"/>
          <w:spacing w:val="8"/>
          <w:sz w:val="52"/>
          <w:szCs w:val="52"/>
          <w:lang w:bidi="ar"/>
        </w:rPr>
        <w:t xml:space="preserve"> </w:t>
      </w:r>
    </w:p>
    <w:p w14:paraId="336D2015" w14:textId="77777777" w:rsidR="00C27B08" w:rsidRDefault="00000000">
      <w:pPr>
        <w:autoSpaceDE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一、基本信息表</w:t>
      </w:r>
    </w:p>
    <w:p w14:paraId="2DE97BDA" w14:textId="77777777" w:rsidR="00C27B08" w:rsidRDefault="00000000">
      <w:pPr>
        <w:tabs>
          <w:tab w:val="left" w:pos="5971"/>
          <w:tab w:val="right" w:pos="8730"/>
        </w:tabs>
        <w:rPr>
          <w:rFonts w:eastAsia="仿宋_GB2312"/>
          <w:color w:val="000000"/>
          <w:spacing w:val="-16"/>
          <w:sz w:val="24"/>
        </w:rPr>
      </w:pPr>
      <w:r>
        <w:rPr>
          <w:rFonts w:ascii="Times New Roman" w:eastAsia="仿宋_GB2312" w:hAnsi="Times New Roman" w:cs="Times New Roman"/>
          <w:color w:val="000000"/>
          <w:spacing w:val="-16"/>
          <w:sz w:val="24"/>
          <w:lang w:bidi="ar"/>
        </w:rPr>
        <w:t xml:space="preserve"> </w:t>
      </w:r>
    </w:p>
    <w:p w14:paraId="34AF8203" w14:textId="77777777" w:rsidR="00C27B08" w:rsidRDefault="00000000">
      <w:pPr>
        <w:tabs>
          <w:tab w:val="left" w:pos="5971"/>
          <w:tab w:val="right" w:pos="8730"/>
        </w:tabs>
        <w:rPr>
          <w:szCs w:val="21"/>
        </w:rPr>
      </w:pPr>
      <w:r>
        <w:rPr>
          <w:rFonts w:ascii="仿宋_GB2312" w:eastAsia="仿宋_GB2312" w:hAnsi="Times New Roman" w:cs="仿宋_GB2312" w:hint="eastAsia"/>
          <w:color w:val="000000"/>
          <w:spacing w:val="-16"/>
          <w:sz w:val="24"/>
          <w:lang w:bidi="ar"/>
        </w:rPr>
        <w:t>申报单位（公章）：</w:t>
      </w:r>
      <w:r>
        <w:rPr>
          <w:rFonts w:ascii="Times New Roman" w:eastAsia="仿宋_GB2312" w:hAnsi="Times New Roman" w:cs="Times New Roman"/>
          <w:color w:val="000000"/>
          <w:spacing w:val="-16"/>
          <w:sz w:val="24"/>
          <w:lang w:bidi="ar"/>
        </w:rPr>
        <w:tab/>
        <w:t xml:space="preserve">   </w:t>
      </w:r>
      <w:r>
        <w:rPr>
          <w:rFonts w:ascii="仿宋_GB2312" w:eastAsia="仿宋_GB2312" w:hAnsi="Times New Roman" w:cs="仿宋_GB2312" w:hint="eastAsia"/>
          <w:color w:val="000000"/>
          <w:sz w:val="24"/>
          <w:lang w:bidi="ar"/>
        </w:rPr>
        <w:t>日期：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lang w:bidi="ar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964"/>
        <w:gridCol w:w="3065"/>
        <w:gridCol w:w="1698"/>
        <w:gridCol w:w="2599"/>
      </w:tblGrid>
      <w:tr w:rsidR="00C27B08" w14:paraId="3992C745" w14:textId="77777777">
        <w:trPr>
          <w:trHeight w:val="418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94F" w14:textId="77777777" w:rsidR="00C27B08" w:rsidRDefault="00000000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9C38" w14:textId="77777777" w:rsidR="00C27B08" w:rsidRDefault="00C27B08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C27B08" w14:paraId="022B9F1F" w14:textId="77777777">
        <w:trPr>
          <w:trHeight w:val="365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4C29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所属类别</w:t>
            </w:r>
          </w:p>
        </w:tc>
        <w:tc>
          <w:tcPr>
            <w:tcW w:w="3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8E457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pacing w:val="-3"/>
                <w:sz w:val="24"/>
                <w:lang w:bidi="ar"/>
              </w:rPr>
              <w:t>一般工业固体废物治理</w:t>
            </w:r>
            <w:r>
              <w:rPr>
                <w:rFonts w:ascii="Times New Roman" w:eastAsia="仿宋_GB2312" w:hAnsi="Times New Roman" w:cs="Times New Roman"/>
                <w:color w:val="000000"/>
                <w:spacing w:val="-3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危险废物治理</w:t>
            </w:r>
          </w:p>
          <w:p w14:paraId="7A50F5D4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pacing w:val="-3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pacing w:val="-3"/>
                <w:sz w:val="24"/>
                <w:lang w:bidi="ar"/>
              </w:rPr>
              <w:t>生活垃圾治理</w:t>
            </w:r>
          </w:p>
          <w:p w14:paraId="21345665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建筑垃圾治理</w:t>
            </w:r>
          </w:p>
          <w:p w14:paraId="2A1F237D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pacing w:val="-3"/>
                <w:sz w:val="24"/>
                <w:lang w:bidi="ar"/>
              </w:rPr>
              <w:t>农业固体废物治理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EDC1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再生资源回收利用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        </w:t>
            </w:r>
          </w:p>
          <w:p w14:paraId="06975DB2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pacing w:val="-3"/>
                <w:sz w:val="24"/>
                <w:lang w:bidi="ar"/>
              </w:rPr>
              <w:t>塑料污染治理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             </w:t>
            </w:r>
          </w:p>
          <w:p w14:paraId="77F8F749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“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无废细胞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”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建设</w:t>
            </w:r>
          </w:p>
          <w:p w14:paraId="682632E5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减</w:t>
            </w:r>
            <w:proofErr w:type="gramStart"/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污降碳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</w:t>
            </w:r>
          </w:p>
          <w:p w14:paraId="06139FF9" w14:textId="77777777" w:rsidR="00C27B08" w:rsidRDefault="00000000">
            <w:pPr>
              <w:widowControl/>
              <w:tabs>
                <w:tab w:val="left" w:pos="4002"/>
              </w:tabs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Wingdings 2" w:eastAsia="仿宋_GB2312" w:hAnsi="Wingdings 2" w:cs="Wingdings 2"/>
                <w:color w:val="000000"/>
                <w:sz w:val="24"/>
                <w:lang w:bidi="ar"/>
              </w:rPr>
              <w:t>£</w:t>
            </w:r>
            <w:r>
              <w:rPr>
                <w:rFonts w:ascii="仿宋_GB2312" w:eastAsia="仿宋_GB2312" w:hAnsi="Times New Roman" w:cs="仿宋_GB2312" w:hint="eastAsia"/>
                <w:color w:val="000000"/>
                <w:sz w:val="24"/>
                <w:lang w:bidi="ar"/>
              </w:rPr>
              <w:t>其他</w:t>
            </w:r>
          </w:p>
        </w:tc>
      </w:tr>
      <w:tr w:rsidR="00C27B08" w14:paraId="79A9C8E1" w14:textId="77777777">
        <w:trPr>
          <w:trHeight w:val="365"/>
          <w:jc w:val="center"/>
        </w:trPr>
        <w:tc>
          <w:tcPr>
            <w:tcW w:w="16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4412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实施主体</w:t>
            </w:r>
          </w:p>
        </w:tc>
        <w:tc>
          <w:tcPr>
            <w:tcW w:w="3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C68" w14:textId="77777777" w:rsidR="00C27B08" w:rsidRDefault="00C27B08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765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联系人及职务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84D" w14:textId="77777777" w:rsidR="00C27B08" w:rsidRDefault="00C27B08">
            <w:pPr>
              <w:widowControl/>
              <w:jc w:val="left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</w:p>
        </w:tc>
      </w:tr>
      <w:tr w:rsidR="00C27B08" w14:paraId="6D08C225" w14:textId="77777777">
        <w:trPr>
          <w:trHeight w:val="391"/>
          <w:jc w:val="center"/>
        </w:trPr>
        <w:tc>
          <w:tcPr>
            <w:tcW w:w="16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F7A" w14:textId="77777777" w:rsidR="00C27B08" w:rsidRDefault="00C27B0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64B" w14:textId="77777777" w:rsidR="00C27B08" w:rsidRDefault="00C27B0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F16C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A30" w14:textId="77777777" w:rsidR="00C27B08" w:rsidRDefault="00C27B08">
            <w:pPr>
              <w:widowControl/>
              <w:jc w:val="left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</w:p>
        </w:tc>
      </w:tr>
      <w:tr w:rsidR="00C27B08" w14:paraId="43169223" w14:textId="77777777">
        <w:trPr>
          <w:trHeight w:val="391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156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spacing w:val="-17"/>
                <w:kern w:val="0"/>
                <w:sz w:val="24"/>
                <w:lang w:bidi="ar"/>
              </w:rPr>
              <w:t>实施地点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B59" w14:textId="77777777" w:rsidR="00C27B08" w:rsidRDefault="00C27B08">
            <w:pPr>
              <w:widowControl/>
              <w:jc w:val="center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</w:p>
        </w:tc>
      </w:tr>
      <w:tr w:rsidR="00C27B08" w14:paraId="282959EC" w14:textId="77777777">
        <w:trPr>
          <w:trHeight w:val="1563"/>
          <w:jc w:val="center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FE5D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简</w:t>
            </w:r>
          </w:p>
          <w:p w14:paraId="56FC10B9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介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FFE0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概述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B4A" w14:textId="77777777" w:rsidR="00C27B08" w:rsidRDefault="00000000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主要包括背景意义、解决的实际问题等基本情况（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C27B08" w14:paraId="7A2999F4" w14:textId="77777777">
        <w:trPr>
          <w:trHeight w:val="1492"/>
          <w:jc w:val="center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22E" w14:textId="77777777" w:rsidR="00C27B08" w:rsidRDefault="00C27B0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9371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做法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7225" w14:textId="77777777" w:rsidR="00C27B08" w:rsidRDefault="00000000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主要填写案例的具体举措和特色亮点做法，系统梳理相关制度、技术、市场、监管，以及宣传教育等方面的相关措施（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字以内）。</w:t>
            </w:r>
          </w:p>
        </w:tc>
      </w:tr>
      <w:tr w:rsidR="00C27B08" w14:paraId="1BD28057" w14:textId="77777777">
        <w:trPr>
          <w:trHeight w:val="1877"/>
          <w:jc w:val="center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B32" w14:textId="77777777" w:rsidR="00C27B08" w:rsidRDefault="00C27B0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0CC7" w14:textId="77777777" w:rsidR="00C27B08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成效</w:t>
            </w:r>
          </w:p>
        </w:tc>
        <w:tc>
          <w:tcPr>
            <w:tcW w:w="7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D82" w14:textId="77777777" w:rsidR="00C27B08" w:rsidRDefault="00000000">
            <w:pPr>
              <w:widowControl/>
              <w:adjustRightInd w:val="0"/>
              <w:snapToGrid w:val="0"/>
              <w:jc w:val="left"/>
              <w:rPr>
                <w:rFonts w:eastAsia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主要包含实践案例开展后取得的实际成效和成果，包括解决关键共性问题、核心指标提升情况、推广利用价值等（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  <w:r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字以内）。</w:t>
            </w:r>
          </w:p>
        </w:tc>
      </w:tr>
    </w:tbl>
    <w:p w14:paraId="457AA401" w14:textId="77777777" w:rsidR="00C27B08" w:rsidRDefault="00000000">
      <w:pPr>
        <w:widowControl/>
        <w:adjustRightInd w:val="0"/>
        <w:snapToGrid w:val="0"/>
        <w:ind w:firstLineChars="200" w:firstLine="480"/>
        <w:jc w:val="left"/>
        <w:rPr>
          <w:szCs w:val="21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4"/>
          <w:lang w:bidi="ar"/>
        </w:rPr>
        <w:t>注：该表至多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lang w:bidi="ar"/>
        </w:rPr>
        <w:t>2</w:t>
      </w:r>
      <w:r>
        <w:rPr>
          <w:rFonts w:ascii="仿宋_GB2312" w:eastAsia="仿宋_GB2312" w:hAnsi="Times New Roman" w:cs="仿宋_GB2312" w:hint="eastAsia"/>
          <w:color w:val="000000"/>
          <w:kern w:val="0"/>
          <w:sz w:val="24"/>
          <w:lang w:bidi="ar"/>
        </w:rPr>
        <w:t>页（可双面打印成一张）</w:t>
      </w:r>
    </w:p>
    <w:p w14:paraId="03B2F1C8" w14:textId="77777777" w:rsidR="00C27B08" w:rsidRDefault="00C27B08">
      <w:pPr>
        <w:rPr>
          <w:rFonts w:ascii="Times New Roman" w:eastAsia="仿宋_GB2312" w:hAnsi="Times New Roman" w:cs="Times New Roman"/>
          <w:color w:val="000000"/>
          <w:sz w:val="24"/>
          <w:lang w:bidi="ar"/>
        </w:rPr>
        <w:sectPr w:rsidR="00C27B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A2B561" w14:textId="77777777" w:rsidR="00C27B08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lastRenderedPageBreak/>
        <w:t>二、申报案例详细介绍</w:t>
      </w:r>
    </w:p>
    <w:p w14:paraId="47B0827E" w14:textId="77777777" w:rsidR="00C27B08" w:rsidRDefault="00000000">
      <w:pPr>
        <w:spacing w:line="560" w:lineRule="exact"/>
        <w:ind w:firstLineChars="200" w:firstLine="643"/>
        <w:rPr>
          <w:rFonts w:ascii="楷体_GB2312" w:eastAsia="楷体_GB2312" w:cs="楷体_GB2312"/>
          <w:b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sz w:val="32"/>
          <w:szCs w:val="32"/>
          <w:lang w:bidi="ar"/>
        </w:rPr>
        <w:t>（一）基本情况</w:t>
      </w:r>
    </w:p>
    <w:p w14:paraId="47BC56C2" w14:textId="77777777" w:rsidR="00C27B08" w:rsidRDefault="0000000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bidi="ar"/>
        </w:rPr>
        <w:t>概述案例背景、解决的关键问题、主要做法和取得成效。</w:t>
      </w:r>
    </w:p>
    <w:p w14:paraId="5E60F98E" w14:textId="77777777" w:rsidR="00C27B08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明确现状底数，体现城市类型、行业特点，针对资源、人口、产业结构等方面的差异，以及各行业在生产流程、废物产生特点等方面的不同情况进行说明。阐述案例实施的具体时间范围，以及在该时间段内相关政策、经济、社会环境等外部因素对案例实施的影响。简述案例实施主体的基本情况，包括其在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建设领域的实践经验、技术实力等（建议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500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字内）。</w:t>
      </w:r>
    </w:p>
    <w:p w14:paraId="197A850E" w14:textId="77777777" w:rsidR="00C27B08" w:rsidRDefault="00000000">
      <w:pPr>
        <w:spacing w:line="5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sz w:val="32"/>
          <w:szCs w:val="32"/>
          <w:lang w:bidi="ar"/>
        </w:rPr>
        <w:t>（二）主要做法</w:t>
      </w:r>
    </w:p>
    <w:p w14:paraId="1B0580B1" w14:textId="77777777" w:rsidR="00C27B08" w:rsidRDefault="0000000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bidi="ar"/>
        </w:rPr>
        <w:t>阐述案例的具体举措和特色亮点做法，内容体现固体废物全过程管理，系统梳理在制度、技术、市场、监管，以及公众宣传教育等方面采取的措施。</w:t>
      </w:r>
    </w:p>
    <w:p w14:paraId="7743A1B2" w14:textId="77777777" w:rsidR="00C27B08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制度措施方面，包括构建多层次的法规政策体系，明确各参与方的责任与义务。技术措施方面，包括智能化固废监测系统、高值资源化利用技术等先进技术研发和应用情况。市场措施方面，包括培育和发展固体废物资源化利用产业、建立废旧物资回收网络，以及加强市场监管、规范企业行为等相关举措。监管措施方面，包括对固体废物产生、运输、处理等各个环节的监管手段，例如成立专门的监管机构，配备专业的监管人员，加强日常巡查和执法力度；利用信息化手段，建立监管信息平台，实现信息共享和实时监控等。在公众参与和宣传教育方面，包括开展形式多样的宣传活动，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lastRenderedPageBreak/>
        <w:t>提高公众对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建设的认识和理解，形成全社会共同参与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建设的良好氛围等内容 （建议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1500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字内）。</w:t>
      </w:r>
    </w:p>
    <w:p w14:paraId="0C707BC0" w14:textId="77777777" w:rsidR="00C27B08" w:rsidRDefault="00000000">
      <w:pPr>
        <w:spacing w:line="560" w:lineRule="exact"/>
        <w:ind w:firstLineChars="200" w:firstLine="643"/>
        <w:rPr>
          <w:rFonts w:ascii="楷体_GB2312" w:eastAsia="楷体_GB2312" w:cs="楷体_GB2312"/>
          <w:b/>
          <w:sz w:val="32"/>
          <w:szCs w:val="32"/>
        </w:rPr>
      </w:pPr>
      <w:r>
        <w:rPr>
          <w:rFonts w:ascii="楷体_GB2312" w:eastAsia="楷体_GB2312" w:hAnsi="Times New Roman" w:cs="楷体_GB2312" w:hint="eastAsia"/>
          <w:b/>
          <w:sz w:val="32"/>
          <w:szCs w:val="32"/>
          <w:lang w:bidi="ar"/>
        </w:rPr>
        <w:t>（三）取得成效</w:t>
      </w:r>
    </w:p>
    <w:p w14:paraId="5DFFF68F" w14:textId="77777777" w:rsidR="00C27B08" w:rsidRDefault="00000000">
      <w:pPr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bidi="ar"/>
        </w:rPr>
        <w:t>总结分析通过以上做法取得的成效和解决的关键问题，突出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b/>
          <w:bCs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bidi="ar"/>
        </w:rPr>
        <w:t>建设核心量化指标的提升情况，以及推广利用价值等。</w:t>
      </w:r>
    </w:p>
    <w:p w14:paraId="30AAF728" w14:textId="77777777" w:rsidR="00C27B08" w:rsidRDefault="00000000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聚焦固体废物治理领域成效，如建立健全制度标准，减量化、资源化、无害化技术突破，固废信息化监管效能提升，多源固废协同治理、减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废降碳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协同治理效益显现，规范固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废利用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处置市场，降低非法倾倒处置固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废风险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等。分析案例在区域、行业、领域等层面实践的可复制性、适用性条件，以及对深化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建设的作用（建议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1000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字内）。</w:t>
      </w:r>
    </w:p>
    <w:p w14:paraId="58E088E2" w14:textId="77777777" w:rsidR="00C27B08" w:rsidRDefault="0000000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三、有关建议</w:t>
      </w:r>
    </w:p>
    <w:p w14:paraId="503A4263" w14:textId="77777777" w:rsidR="00C27B08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结合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十四五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时期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无废城市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建设取得进展成效、面临问题和下一步考虑，提出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“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十五五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”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时期希望得到的工作支持或有关提升建议（建议</w:t>
      </w:r>
      <w:r>
        <w:rPr>
          <w:rFonts w:ascii="Times New Roman" w:eastAsia="仿宋_GB2312" w:hAnsi="Times New Roman" w:cs="Times New Roman"/>
          <w:sz w:val="32"/>
          <w:szCs w:val="32"/>
          <w:lang w:bidi="ar"/>
        </w:rPr>
        <w:t>500</w:t>
      </w: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字以内）。</w:t>
      </w:r>
    </w:p>
    <w:p w14:paraId="310C3182" w14:textId="77777777" w:rsidR="00C27B08" w:rsidRDefault="00000000">
      <w:pPr>
        <w:adjustRightInd w:val="0"/>
        <w:snapToGrid w:val="0"/>
        <w:spacing w:beforeLines="15" w:before="46" w:afterLines="15" w:after="46"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</w:t>
      </w:r>
    </w:p>
    <w:p w14:paraId="4E998CD8" w14:textId="77777777" w:rsidR="00C27B08" w:rsidRDefault="00000000">
      <w:pPr>
        <w:adjustRightInd w:val="0"/>
        <w:snapToGrid w:val="0"/>
        <w:spacing w:beforeLines="15" w:before="46" w:afterLines="15" w:after="46"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附件：所有支撑佐证材料（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请清楚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  <w:lang w:bidi="ar"/>
        </w:rPr>
        <w:t>标号，并与正文引用对应）。</w:t>
      </w:r>
    </w:p>
    <w:p w14:paraId="0E8E8E97" w14:textId="77777777" w:rsidR="00C27B08" w:rsidRDefault="00C27B08">
      <w:pPr>
        <w:rPr>
          <w:sz w:val="32"/>
          <w:szCs w:val="32"/>
        </w:rPr>
      </w:pPr>
    </w:p>
    <w:p w14:paraId="6DA1396C" w14:textId="77777777" w:rsidR="00C27B08" w:rsidRDefault="00C27B08"/>
    <w:p w14:paraId="2DA97290" w14:textId="77777777" w:rsidR="00C27B08" w:rsidRDefault="00C27B08"/>
    <w:sectPr w:rsidR="00C2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438B" w14:textId="77777777" w:rsidR="00B87B57" w:rsidRDefault="00B87B57" w:rsidP="00CD42F5">
      <w:r>
        <w:separator/>
      </w:r>
    </w:p>
  </w:endnote>
  <w:endnote w:type="continuationSeparator" w:id="0">
    <w:p w14:paraId="7558B58F" w14:textId="77777777" w:rsidR="00B87B57" w:rsidRDefault="00B87B57" w:rsidP="00CD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AE8E" w14:textId="77777777" w:rsidR="00B87B57" w:rsidRDefault="00B87B57" w:rsidP="00CD42F5">
      <w:r>
        <w:separator/>
      </w:r>
    </w:p>
  </w:footnote>
  <w:footnote w:type="continuationSeparator" w:id="0">
    <w:p w14:paraId="2D54C487" w14:textId="77777777" w:rsidR="00B87B57" w:rsidRDefault="00B87B57" w:rsidP="00CD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B08"/>
    <w:rsid w:val="003303A0"/>
    <w:rsid w:val="00B87B57"/>
    <w:rsid w:val="00C27B08"/>
    <w:rsid w:val="00CD42F5"/>
    <w:rsid w:val="03924587"/>
    <w:rsid w:val="04847C54"/>
    <w:rsid w:val="053E1854"/>
    <w:rsid w:val="05CF051C"/>
    <w:rsid w:val="0F8A6BA4"/>
    <w:rsid w:val="146B44F6"/>
    <w:rsid w:val="1C2E04F0"/>
    <w:rsid w:val="21987454"/>
    <w:rsid w:val="22624659"/>
    <w:rsid w:val="29D912DD"/>
    <w:rsid w:val="2C2679EA"/>
    <w:rsid w:val="2EA54AAD"/>
    <w:rsid w:val="2FA62970"/>
    <w:rsid w:val="30812660"/>
    <w:rsid w:val="38731EBD"/>
    <w:rsid w:val="3D213E67"/>
    <w:rsid w:val="42045B0C"/>
    <w:rsid w:val="424A02C6"/>
    <w:rsid w:val="454E7998"/>
    <w:rsid w:val="464642EC"/>
    <w:rsid w:val="4C313701"/>
    <w:rsid w:val="4F8631A4"/>
    <w:rsid w:val="50C7023C"/>
    <w:rsid w:val="50E1787D"/>
    <w:rsid w:val="580050AF"/>
    <w:rsid w:val="5F6A6968"/>
    <w:rsid w:val="630E7627"/>
    <w:rsid w:val="6A516145"/>
    <w:rsid w:val="6B5434A6"/>
    <w:rsid w:val="6EB8543E"/>
    <w:rsid w:val="6FDE3D20"/>
    <w:rsid w:val="729F0026"/>
    <w:rsid w:val="76E038CA"/>
    <w:rsid w:val="791148F5"/>
    <w:rsid w:val="794D30D5"/>
    <w:rsid w:val="7D8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487DC"/>
  <w15:docId w15:val="{7E5A7A7F-3B2A-4102-9FC7-406DF095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">
    <w:name w:val="页脚 字符1"/>
    <w:basedOn w:val="a0"/>
    <w:link w:val="a3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a4">
    <w:name w:val="页脚 字符"/>
    <w:basedOn w:val="a0"/>
    <w:rPr>
      <w:rFonts w:ascii="Times New Roman" w:hAnsi="Times New Roman" w:cs="Times New Roman" w:hint="default"/>
      <w:kern w:val="2"/>
      <w:sz w:val="18"/>
      <w:szCs w:val="18"/>
    </w:rPr>
  </w:style>
  <w:style w:type="paragraph" w:styleId="a5">
    <w:name w:val="header"/>
    <w:basedOn w:val="a"/>
    <w:link w:val="a6"/>
    <w:rsid w:val="00CD42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D42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1144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郑睿颖</dc:creator>
  <cp:lastModifiedBy>姚蓓蓓</cp:lastModifiedBy>
  <cp:revision>2</cp:revision>
  <dcterms:created xsi:type="dcterms:W3CDTF">2023-07-27T01:53:00Z</dcterms:created>
  <dcterms:modified xsi:type="dcterms:W3CDTF">2026-04-03T02:19:00Z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CDC66FC30A09466AADB61B00B7D47CFD_12</vt:lpwstr>
  </property>
  <property fmtid="{D5CDD505-2E9C-101B-9397-08002B2CF9AE}" pid="4" name="KSOTemplateDocerSaveRecord">
    <vt:lpwstr>eyJoZGlkIjoiZTc3YWJlNmU2ZWY2MmZjODJkYjMzYzQ1MjM1OWI5MjIiLCJ1c2VySWQiOiIxMTgxODUxNzgyIn0=</vt:lpwstr>
  </property>
</Properties>
</file>